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00"/>
      </w:pPr>
      <w:r>
        <w:rPr>
          <w:rFonts w:ascii="Calibri" w:cs="Calibri" w:eastAsia="Calibri" w:hAnsi="Calibri"/>
          <w:b/>
          <w:bCs/>
          <w:color w:val="5A6B87"/>
          <w:spacing w:val="30"/>
          <w:sz w:val="15"/>
          <w:szCs w:val="15"/>
        </w:rPr>
        <w:t xml:space="preserve">NETHERLANDS · FILING READINESS CHEAT SHEET · OCTOBER 2026</w:t>
      </w:r>
    </w:p>
    <w:p>
      <w:pPr>
        <w:spacing w:after="60" w:before="0"/>
      </w:pPr>
      <w:r>
        <w:rPr>
          <w:rFonts w:ascii="Calibri" w:cs="Calibri" w:eastAsia="Calibri" w:hAnsi="Calibri"/>
          <w:b/>
          <w:bCs/>
          <w:color w:val="10203F"/>
          <w:sz w:val="40"/>
          <w:szCs w:val="40"/>
        </w:rPr>
        <w:t xml:space="preserve">Filing Pillar Two in the Netherlands</w:t>
      </w:r>
    </w:p>
    <w:p>
      <w:pPr>
        <w:spacing w:after="160" w:before="0" w:line="276"/>
      </w:pPr>
      <w:r>
        <w:rPr>
          <w:rFonts w:ascii="Calibri" w:cs="Calibri" w:eastAsia="Calibri" w:hAnsi="Calibri"/>
          <w:b/>
          <w:bCs/>
          <w:color w:val="10203F"/>
          <w:sz w:val="23"/>
          <w:szCs w:val="23"/>
        </w:rPr>
        <w:t xml:space="preserve">Three filings on two different clocks, through two different access routes — and the penalty waiver expires on 31 October 2026.</w:t>
      </w:r>
    </w:p>
    <w:p>
      <w:pPr>
        <w:spacing w:after="200" w:before="0" w:line="276"/>
      </w:pPr>
      <w:r>
        <w:rPr>
          <w:rFonts w:ascii="Calibri" w:cs="Calibri" w:eastAsia="Calibri" w:hAnsi="Calibri"/>
          <w:color w:val="1F2937"/>
          <w:sz w:val="20"/>
          <w:szCs w:val="20"/>
        </w:rPr>
        <w:t xml:space="preserve">The Netherlands is not a difficult jurisdiction to file in. It is a difficult one to schedule. Three deliverables run on two separate deadlines through three separate channels, and the single most common Dutch error is diarising one date and assuming it covers the others.</w:t>
      </w:r>
    </w:p>
    <w:tbl>
      <w:tblPr>
        <w:tblW w:type="dxa" w:w="9026"/>
        <w:tblBorders>
          <w:top w:val="single" w:color="E8B384" w:sz="2"/>
          <w:left w:val="single" w:color="E8B384" w:sz="18"/>
          <w:bottom w:val="single" w:color="E8B384" w:sz="2"/>
          <w:right w:val="single" w:color="E8B384" w:sz="2"/>
          <w:insideH w:val="none" w:color="FFFFFF" w:sz="0"/>
          <w:insideV w:val="none" w:color="FFFFFF" w:sz="0"/>
        </w:tblBorders>
        <w:tblLayout w:type="fixed"/>
      </w:tblPr>
      <w:tblGrid>
        <w:gridCol w:w="9026"/>
      </w:tblGrid>
      <w:tr>
        <w:tc>
          <w:tcPr>
            <w:tcW w:type="dxa" w:w="9026"/>
            <w:shd w:fill="FDF3E7" w:color="auto" w:val="clear"/>
            <w:tcMar>
              <w:top w:type="dxa" w:w="140"/>
              <w:left w:type="dxa" w:w="200"/>
              <w:bottom w:type="dxa" w:w="140"/>
              <w:right w:type="dxa" w:w="180"/>
            </w:tcMar>
          </w:tcPr>
          <w:p>
            <w:pPr>
              <w:spacing w:after="100"/>
            </w:pPr>
            <w:r>
              <w:rPr>
                <w:rFonts w:ascii="Calibri" w:cs="Calibri" w:eastAsia="Calibri" w:hAnsi="Calibri"/>
                <w:b/>
                <w:bCs/>
                <w:color w:val="5A6B87"/>
                <w:spacing w:val="30"/>
                <w:sz w:val="15"/>
                <w:szCs w:val="15"/>
              </w:rPr>
              <w:t xml:space="preserve">START HERE, IF YOU READ NOTHING ELSE</w:t>
            </w:r>
          </w:p>
          <w:p>
            <w:pPr>
              <w:spacing w:after="90" w:before="0" w:line="276"/>
            </w:pPr>
            <w:r>
              <w:rPr>
                <w:rFonts w:ascii="Calibri" w:cs="Calibri" w:eastAsia="Calibri" w:hAnsi="Calibri"/>
                <w:color w:val="1F2937"/>
                <w:sz w:val="20"/>
                <w:szCs w:val="20"/>
              </w:rPr>
              <w:t xml:space="preserve">The Belastingdienst waived the verzuimboete for late filing and late payment, citing international implementation and system problems in the first filing period. That waiver expires on 31 October 2026. Penalties resume on 1 November.</w:t>
            </w:r>
          </w:p>
          <w:p>
            <w:pPr>
              <w:spacing w:after="0" w:before="0" w:line="276"/>
            </w:pPr>
            <w:r>
              <w:rPr>
                <w:rFonts w:ascii="Calibri" w:cs="Calibri" w:eastAsia="Calibri" w:hAnsi="Calibri"/>
                <w:color w:val="1F2937"/>
                <w:sz w:val="20"/>
                <w:szCs w:val="20"/>
              </w:rPr>
              <w:t xml:space="preserve">And the trap underneath it: the information return is due at 15 months, the tax return at 17. They are different obligations, with different deadlines, through different systems.</w:t>
            </w:r>
          </w:p>
        </w:tc>
      </w:tr>
    </w:tbl>
    <w:p>
      <w:pPr>
        <w:pBdr>
          <w:bottom w:val="single" w:color="D9E0EC" w:sz="6" w:space="6"/>
        </w:pBdr>
        <w:spacing w:after="120" w:before="300"/>
      </w:pPr>
      <w:r>
        <w:rPr>
          <w:rFonts w:ascii="Calibri" w:cs="Calibri" w:eastAsia="Calibri" w:hAnsi="Calibri"/>
          <w:b/>
          <w:bCs/>
          <w:color w:val="2563EB"/>
          <w:sz w:val="26"/>
          <w:szCs w:val="26"/>
        </w:rPr>
        <w:t xml:space="preserve">1  </w:t>
      </w:r>
      <w:r>
        <w:rPr>
          <w:rFonts w:ascii="Calibri" w:cs="Calibri" w:eastAsia="Calibri" w:hAnsi="Calibri"/>
          <w:b/>
          <w:bCs/>
          <w:color w:val="10203F"/>
          <w:sz w:val="26"/>
          <w:szCs w:val="26"/>
        </w:rPr>
        <w:t xml:space="preserve">The two clocks, which is the whole story</w:t>
      </w:r>
    </w:p>
    <w:p>
      <w:pPr>
        <w:spacing w:after="150" w:before="0" w:line="276"/>
      </w:pPr>
      <w:r>
        <w:rPr>
          <w:rFonts w:ascii="Calibri" w:cs="Calibri" w:eastAsia="Calibri" w:hAnsi="Calibri"/>
          <w:color w:val="1F2937"/>
          <w:sz w:val="20"/>
          <w:szCs w:val="20"/>
        </w:rPr>
        <w:t xml:space="preserve">One regime, three deliverables, two deadlines, three channels.</w:t>
      </w:r>
    </w:p>
    <w:tbl>
      <w:tblPr>
        <w:tblW w:type="dxa" w:w="9026"/>
        <w:tblBorders>
          <w:top w:val="single" w:color="D9E0EC" w:sz="2"/>
          <w:left w:val="none" w:color="FFFFFF" w:sz="0"/>
          <w:bottom w:val="single" w:color="D9E0EC" w:sz="2"/>
          <w:right w:val="none" w:color="FFFFFF" w:sz="0"/>
          <w:insideH w:val="single" w:color="D9E0EC" w:sz="2"/>
          <w:insideV w:val="single" w:color="D9E0EC" w:sz="2"/>
        </w:tblBorders>
        <w:tblLayout w:type="fixed"/>
      </w:tblPr>
      <w:tblGrid>
        <w:gridCol w:w="2320"/>
        <w:gridCol w:w="2560"/>
        <w:gridCol w:w="2250"/>
        <w:gridCol w:w="1896"/>
      </w:tblGrid>
      <w:tr>
        <w:trPr>
          <w:cantSplit/>
          <w:tblHeader/>
        </w:trPr>
        <w:tc>
          <w:tcPr>
            <w:tcW w:type="dxa" w:w="2320"/>
            <w:shd w:fill="10203F" w:color="auto" w:val="clear"/>
            <w:tcMar>
              <w:top w:type="dxa" w:w="90"/>
              <w:left w:type="dxa" w:w="130"/>
              <w:bottom w:type="dxa" w:w="90"/>
              <w:right w:type="dxa" w:w="130"/>
            </w:tcMar>
          </w:tcPr>
          <w:p>
            <w:pPr>
              <w:spacing w:after="0"/>
            </w:pPr>
            <w:r>
              <w:rPr>
                <w:rFonts w:ascii="Calibri" w:cs="Calibri" w:eastAsia="Calibri" w:hAnsi="Calibri"/>
                <w:b/>
                <w:bCs/>
                <w:color w:val="FFFFFF"/>
                <w:sz w:val="17"/>
                <w:szCs w:val="17"/>
              </w:rPr>
              <w:t xml:space="preserve">Filing</w:t>
            </w:r>
          </w:p>
        </w:tc>
        <w:tc>
          <w:tcPr>
            <w:tcW w:type="dxa" w:w="2560"/>
            <w:shd w:fill="10203F" w:color="auto" w:val="clear"/>
            <w:tcMar>
              <w:top w:type="dxa" w:w="90"/>
              <w:left w:type="dxa" w:w="130"/>
              <w:bottom w:type="dxa" w:w="90"/>
              <w:right w:type="dxa" w:w="130"/>
            </w:tcMar>
          </w:tcPr>
          <w:p>
            <w:pPr>
              <w:spacing w:after="0"/>
            </w:pPr>
            <w:r>
              <w:rPr>
                <w:rFonts w:ascii="Calibri" w:cs="Calibri" w:eastAsia="Calibri" w:hAnsi="Calibri"/>
                <w:b/>
                <w:bCs/>
                <w:color w:val="FFFFFF"/>
                <w:sz w:val="17"/>
                <w:szCs w:val="17"/>
              </w:rPr>
              <w:t xml:space="preserve">What it is</w:t>
            </w:r>
          </w:p>
        </w:tc>
        <w:tc>
          <w:tcPr>
            <w:tcW w:type="dxa" w:w="2250"/>
            <w:shd w:fill="10203F" w:color="auto" w:val="clear"/>
            <w:tcMar>
              <w:top w:type="dxa" w:w="90"/>
              <w:left w:type="dxa" w:w="130"/>
              <w:bottom w:type="dxa" w:w="90"/>
              <w:right w:type="dxa" w:w="130"/>
            </w:tcMar>
          </w:tcPr>
          <w:p>
            <w:pPr>
              <w:spacing w:after="0"/>
            </w:pPr>
            <w:r>
              <w:rPr>
                <w:rFonts w:ascii="Calibri" w:cs="Calibri" w:eastAsia="Calibri" w:hAnsi="Calibri"/>
                <w:b/>
                <w:bCs/>
                <w:color w:val="FFFFFF"/>
                <w:sz w:val="17"/>
                <w:szCs w:val="17"/>
              </w:rPr>
              <w:t xml:space="preserve">Due</w:t>
            </w:r>
          </w:p>
        </w:tc>
        <w:tc>
          <w:tcPr>
            <w:tcW w:type="dxa" w:w="1896"/>
            <w:shd w:fill="10203F" w:color="auto" w:val="clear"/>
            <w:tcMar>
              <w:top w:type="dxa" w:w="90"/>
              <w:left w:type="dxa" w:w="130"/>
              <w:bottom w:type="dxa" w:w="90"/>
              <w:right w:type="dxa" w:w="130"/>
            </w:tcMar>
          </w:tcPr>
          <w:p>
            <w:pPr>
              <w:spacing w:after="0"/>
            </w:pPr>
            <w:r>
              <w:rPr>
                <w:rFonts w:ascii="Calibri" w:cs="Calibri" w:eastAsia="Calibri" w:hAnsi="Calibri"/>
                <w:b/>
                <w:bCs/>
                <w:color w:val="FFFFFF"/>
                <w:sz w:val="17"/>
                <w:szCs w:val="17"/>
              </w:rPr>
              <w:t xml:space="preserve">Channel</w:t>
            </w:r>
          </w:p>
        </w:tc>
      </w:tr>
      <w:tr>
        <w:trPr>
          <w:cantSplit/>
        </w:trPr>
        <w:tc>
          <w:tcPr>
            <w:tcW w:type="dxa" w:w="2320"/>
            <w:shd w:fill="FFFFFF" w:color="auto" w:val="clear"/>
            <w:tcMar>
              <w:top w:type="dxa" w:w="90"/>
              <w:left w:type="dxa" w:w="130"/>
              <w:bottom w:type="dxa" w:w="90"/>
              <w:right w:type="dxa" w:w="130"/>
            </w:tcMar>
          </w:tcPr>
          <w:p>
            <w:pPr>
              <w:spacing w:after="60" w:line="254"/>
            </w:pPr>
            <w:r>
              <w:rPr>
                <w:rFonts w:ascii="Calibri" w:cs="Calibri" w:eastAsia="Calibri" w:hAnsi="Calibri"/>
                <w:b/>
                <w:bCs/>
                <w:color w:val="1F2937"/>
                <w:sz w:val="17"/>
                <w:szCs w:val="17"/>
              </w:rPr>
              <w:t xml:space="preserve">Bijheffing-informatieaangifte</w:t>
            </w:r>
          </w:p>
          <w:p>
            <w:pPr>
              <w:spacing w:after="0" w:line="254"/>
            </w:pPr>
            <w:r>
              <w:rPr>
                <w:rFonts w:ascii="Calibri" w:cs="Calibri" w:eastAsia="Calibri" w:hAnsi="Calibri"/>
                <w:b w:val="false"/>
                <w:bCs w:val="false"/>
                <w:color w:val="1F2937"/>
                <w:sz w:val="17"/>
                <w:szCs w:val="17"/>
              </w:rPr>
              <w:t xml:space="preserve">(BIA — the GIR)</w:t>
            </w:r>
          </w:p>
        </w:tc>
        <w:tc>
          <w:tcPr>
            <w:tcW w:type="dxa" w:w="2560"/>
            <w:shd w:fill="FFFFFF" w:color="auto" w:val="clear"/>
            <w:tcMar>
              <w:top w:type="dxa" w:w="90"/>
              <w:left w:type="dxa" w:w="130"/>
              <w:bottom w:type="dxa" w:w="90"/>
              <w:right w:type="dxa" w:w="130"/>
            </w:tcMar>
          </w:tcPr>
          <w:p>
            <w:pPr>
              <w:spacing w:after="0" w:line="254"/>
            </w:pPr>
            <w:r>
              <w:rPr>
                <w:rFonts w:ascii="Calibri" w:cs="Calibri" w:eastAsia="Calibri" w:hAnsi="Calibri"/>
                <w:b w:val="false"/>
                <w:bCs w:val="false"/>
                <w:color w:val="1F2937"/>
                <w:sz w:val="17"/>
                <w:szCs w:val="17"/>
              </w:rPr>
              <w:t xml:space="preserve">The GloBE information return, exchanged automatically between authorities.</w:t>
            </w:r>
          </w:p>
        </w:tc>
        <w:tc>
          <w:tcPr>
            <w:tcW w:type="dxa" w:w="2250"/>
            <w:shd w:fill="FFFFFF" w:color="auto" w:val="clear"/>
            <w:tcMar>
              <w:top w:type="dxa" w:w="90"/>
              <w:left w:type="dxa" w:w="130"/>
              <w:bottom w:type="dxa" w:w="90"/>
              <w:right w:type="dxa" w:w="130"/>
            </w:tcMar>
          </w:tcPr>
          <w:p>
            <w:pPr>
              <w:spacing w:after="0" w:line="254"/>
            </w:pPr>
            <w:r>
              <w:rPr>
                <w:rFonts w:ascii="Calibri" w:cs="Calibri" w:eastAsia="Calibri" w:hAnsi="Calibri"/>
                <w:b/>
                <w:bCs/>
                <w:color w:val="1F2937"/>
                <w:sz w:val="17"/>
                <w:szCs w:val="17"/>
              </w:rPr>
              <w:t xml:space="preserve">15 months after the reporting year; 18 for the first year. No extension is granted.</w:t>
            </w:r>
          </w:p>
        </w:tc>
        <w:tc>
          <w:tcPr>
            <w:tcW w:type="dxa" w:w="1896"/>
            <w:shd w:fill="FFFFFF" w:color="auto" w:val="clear"/>
            <w:tcMar>
              <w:top w:type="dxa" w:w="90"/>
              <w:left w:type="dxa" w:w="130"/>
              <w:bottom w:type="dxa" w:w="90"/>
              <w:right w:type="dxa" w:w="130"/>
            </w:tcMar>
          </w:tcPr>
          <w:p>
            <w:pPr>
              <w:spacing w:after="0" w:line="254"/>
            </w:pPr>
            <w:r>
              <w:rPr>
                <w:rFonts w:ascii="Calibri" w:cs="Calibri" w:eastAsia="Calibri" w:hAnsi="Calibri"/>
                <w:b w:val="false"/>
                <w:bCs w:val="false"/>
                <w:color w:val="1F2937"/>
                <w:sz w:val="17"/>
                <w:szCs w:val="17"/>
              </w:rPr>
              <w:t xml:space="preserve">Digipoort (Logius)</w:t>
            </w:r>
          </w:p>
        </w:tc>
      </w:tr>
      <w:tr>
        <w:trPr>
          <w:cantSplit/>
        </w:trPr>
        <w:tc>
          <w:tcPr>
            <w:tcW w:type="dxa" w:w="2320"/>
            <w:shd w:fill="F7F9FC" w:color="auto" w:val="clear"/>
            <w:tcMar>
              <w:top w:type="dxa" w:w="90"/>
              <w:left w:type="dxa" w:w="130"/>
              <w:bottom w:type="dxa" w:w="90"/>
              <w:right w:type="dxa" w:w="130"/>
            </w:tcMar>
          </w:tcPr>
          <w:p>
            <w:pPr>
              <w:spacing w:after="60" w:line="254"/>
            </w:pPr>
            <w:r>
              <w:rPr>
                <w:rFonts w:ascii="Calibri" w:cs="Calibri" w:eastAsia="Calibri" w:hAnsi="Calibri"/>
                <w:b/>
                <w:bCs/>
                <w:color w:val="1F2937"/>
                <w:sz w:val="17"/>
                <w:szCs w:val="17"/>
              </w:rPr>
              <w:t xml:space="preserve">Kennisgeving</w:t>
            </w:r>
          </w:p>
          <w:p>
            <w:pPr>
              <w:spacing w:after="0" w:line="254"/>
            </w:pPr>
            <w:r>
              <w:rPr>
                <w:rFonts w:ascii="Calibri" w:cs="Calibri" w:eastAsia="Calibri" w:hAnsi="Calibri"/>
                <w:b w:val="false"/>
                <w:bCs w:val="false"/>
                <w:color w:val="1F2937"/>
                <w:sz w:val="17"/>
                <w:szCs w:val="17"/>
              </w:rPr>
              <w:t xml:space="preserve">(notification)</w:t>
            </w:r>
          </w:p>
        </w:tc>
        <w:tc>
          <w:tcPr>
            <w:tcW w:type="dxa" w:w="2560"/>
            <w:shd w:fill="F7F9FC" w:color="auto" w:val="clear"/>
            <w:tcMar>
              <w:top w:type="dxa" w:w="90"/>
              <w:left w:type="dxa" w:w="130"/>
              <w:bottom w:type="dxa" w:w="90"/>
              <w:right w:type="dxa" w:w="130"/>
            </w:tcMar>
          </w:tcPr>
          <w:p>
            <w:pPr>
              <w:spacing w:after="0" w:line="254"/>
            </w:pPr>
            <w:r>
              <w:rPr>
                <w:rFonts w:ascii="Calibri" w:cs="Calibri" w:eastAsia="Calibri" w:hAnsi="Calibri"/>
                <w:b w:val="false"/>
                <w:bCs w:val="false"/>
                <w:color w:val="1F2937"/>
                <w:sz w:val="17"/>
                <w:szCs w:val="17"/>
              </w:rPr>
              <w:t xml:space="preserve">Notification of which group entity files the BIA abroad, and in which country.</w:t>
            </w:r>
          </w:p>
        </w:tc>
        <w:tc>
          <w:tcPr>
            <w:tcW w:type="dxa" w:w="2250"/>
            <w:shd w:fill="F7F9FC" w:color="auto" w:val="clear"/>
            <w:tcMar>
              <w:top w:type="dxa" w:w="90"/>
              <w:left w:type="dxa" w:w="130"/>
              <w:bottom w:type="dxa" w:w="90"/>
              <w:right w:type="dxa" w:w="130"/>
            </w:tcMar>
          </w:tcPr>
          <w:p>
            <w:pPr>
              <w:spacing w:after="0" w:line="254"/>
            </w:pPr>
            <w:r>
              <w:rPr>
                <w:rFonts w:ascii="Calibri" w:cs="Calibri" w:eastAsia="Calibri" w:hAnsi="Calibri"/>
                <w:b w:val="false"/>
                <w:bCs w:val="false"/>
                <w:color w:val="1F2937"/>
                <w:sz w:val="17"/>
                <w:szCs w:val="17"/>
              </w:rPr>
              <w:t xml:space="preserve">Same 15 / 18-month clock</w:t>
            </w:r>
          </w:p>
        </w:tc>
        <w:tc>
          <w:tcPr>
            <w:tcW w:type="dxa" w:w="1896"/>
            <w:shd w:fill="F7F9FC" w:color="auto" w:val="clear"/>
            <w:tcMar>
              <w:top w:type="dxa" w:w="90"/>
              <w:left w:type="dxa" w:w="130"/>
              <w:bottom w:type="dxa" w:w="90"/>
              <w:right w:type="dxa" w:w="130"/>
            </w:tcMar>
          </w:tcPr>
          <w:p>
            <w:pPr>
              <w:spacing w:after="0" w:line="254"/>
            </w:pPr>
            <w:r>
              <w:rPr>
                <w:rFonts w:ascii="Calibri" w:cs="Calibri" w:eastAsia="Calibri" w:hAnsi="Calibri"/>
                <w:b w:val="false"/>
                <w:bCs w:val="false"/>
                <w:color w:val="1F2937"/>
                <w:sz w:val="17"/>
                <w:szCs w:val="17"/>
              </w:rPr>
              <w:t xml:space="preserve">Gegevensportaal web form — NOT Digipoort, NOT Mijn Belastingdienst Zakelijk</w:t>
            </w:r>
          </w:p>
        </w:tc>
      </w:tr>
      <w:tr>
        <w:trPr>
          <w:cantSplit/>
        </w:trPr>
        <w:tc>
          <w:tcPr>
            <w:tcW w:type="dxa" w:w="2320"/>
            <w:shd w:fill="FFFFFF" w:color="auto" w:val="clear"/>
            <w:tcMar>
              <w:top w:type="dxa" w:w="90"/>
              <w:left w:type="dxa" w:w="130"/>
              <w:bottom w:type="dxa" w:w="90"/>
              <w:right w:type="dxa" w:w="130"/>
            </w:tcMar>
          </w:tcPr>
          <w:p>
            <w:pPr>
              <w:spacing w:after="60" w:line="254"/>
            </w:pPr>
            <w:r>
              <w:rPr>
                <w:rFonts w:ascii="Calibri" w:cs="Calibri" w:eastAsia="Calibri" w:hAnsi="Calibri"/>
                <w:b/>
                <w:bCs/>
                <w:color w:val="1F2937"/>
                <w:sz w:val="17"/>
                <w:szCs w:val="17"/>
              </w:rPr>
              <w:t xml:space="preserve">Aangifte minimumbelasting</w:t>
            </w:r>
          </w:p>
          <w:p>
            <w:pPr>
              <w:spacing w:after="0" w:line="254"/>
            </w:pPr>
            <w:r>
              <w:rPr>
                <w:rFonts w:ascii="Calibri" w:cs="Calibri" w:eastAsia="Calibri" w:hAnsi="Calibri"/>
                <w:b w:val="false"/>
                <w:bCs w:val="false"/>
                <w:color w:val="1F2937"/>
                <w:sz w:val="17"/>
                <w:szCs w:val="17"/>
              </w:rPr>
              <w:t xml:space="preserve">(tax return)</w:t>
            </w:r>
          </w:p>
        </w:tc>
        <w:tc>
          <w:tcPr>
            <w:tcW w:type="dxa" w:w="2560"/>
            <w:shd w:fill="FFFFFF" w:color="auto" w:val="clear"/>
            <w:tcMar>
              <w:top w:type="dxa" w:w="90"/>
              <w:left w:type="dxa" w:w="130"/>
              <w:bottom w:type="dxa" w:w="90"/>
              <w:right w:type="dxa" w:w="130"/>
            </w:tcMar>
          </w:tcPr>
          <w:p>
            <w:pPr>
              <w:spacing w:after="0" w:line="254"/>
            </w:pPr>
            <w:r>
              <w:rPr>
                <w:rFonts w:ascii="Calibri" w:cs="Calibri" w:eastAsia="Calibri" w:hAnsi="Calibri"/>
                <w:b w:val="false"/>
                <w:bCs w:val="false"/>
                <w:color w:val="1F2937"/>
                <w:sz w:val="17"/>
                <w:szCs w:val="17"/>
              </w:rPr>
              <w:t xml:space="preserve">The return that assesses and pays the bijheffing itself.</w:t>
            </w:r>
          </w:p>
        </w:tc>
        <w:tc>
          <w:tcPr>
            <w:tcW w:type="dxa" w:w="2250"/>
            <w:shd w:fill="FFFFFF" w:color="auto" w:val="clear"/>
            <w:tcMar>
              <w:top w:type="dxa" w:w="90"/>
              <w:left w:type="dxa" w:w="130"/>
              <w:bottom w:type="dxa" w:w="90"/>
              <w:right w:type="dxa" w:w="130"/>
            </w:tcMar>
          </w:tcPr>
          <w:p>
            <w:pPr>
              <w:spacing w:after="0" w:line="254"/>
            </w:pPr>
            <w:r>
              <w:rPr>
                <w:rFonts w:ascii="Calibri" w:cs="Calibri" w:eastAsia="Calibri" w:hAnsi="Calibri"/>
                <w:b/>
                <w:bCs/>
                <w:color w:val="1F2937"/>
                <w:sz w:val="17"/>
                <w:szCs w:val="17"/>
              </w:rPr>
              <w:t xml:space="preserve">17 months after the reporting year; 20 for the first year</w:t>
            </w:r>
          </w:p>
        </w:tc>
        <w:tc>
          <w:tcPr>
            <w:tcW w:type="dxa" w:w="1896"/>
            <w:shd w:fill="FFFFFF" w:color="auto" w:val="clear"/>
            <w:tcMar>
              <w:top w:type="dxa" w:w="90"/>
              <w:left w:type="dxa" w:w="130"/>
              <w:bottom w:type="dxa" w:w="90"/>
              <w:right w:type="dxa" w:w="130"/>
            </w:tcMar>
          </w:tcPr>
          <w:p>
            <w:pPr>
              <w:spacing w:after="0" w:line="254"/>
            </w:pPr>
            <w:r>
              <w:rPr>
                <w:rFonts w:ascii="Calibri" w:cs="Calibri" w:eastAsia="Calibri" w:hAnsi="Calibri"/>
                <w:b w:val="false"/>
                <w:bCs w:val="false"/>
                <w:color w:val="1F2937"/>
                <w:sz w:val="17"/>
                <w:szCs w:val="17"/>
              </w:rPr>
              <w:t xml:space="preserve">Mijn Belastingdienst Zakelijk</w:t>
            </w:r>
          </w:p>
        </w:tc>
      </w:tr>
    </w:tbl>
    <w:p>
      <w:pPr>
        <w:spacing w:after="120"/>
      </w:pPr>
    </w:p>
    <w:p>
      <w:pPr>
        <w:spacing w:after="0" w:before="0" w:line="276"/>
      </w:pPr>
      <w:r>
        <w:rPr>
          <w:rFonts w:ascii="Calibri" w:cs="Calibri" w:eastAsia="Calibri" w:hAnsi="Calibri"/>
          <w:b/>
          <w:bCs/>
          <w:color w:val="1F2937"/>
          <w:sz w:val="20"/>
          <w:szCs w:val="20"/>
        </w:rPr>
        <w:t xml:space="preserve">Note the middle row especially. </w:t>
      </w:r>
      <w:r>
        <w:rPr>
          <w:rFonts w:ascii="Calibri" w:cs="Calibri" w:eastAsia="Calibri" w:hAnsi="Calibri"/>
          <w:color w:val="1F2937"/>
          <w:sz w:val="20"/>
          <w:szCs w:val="20"/>
        </w:rPr>
        <w:t xml:space="preserve">The notification goes through neither of the systems the other two use. Teams that have solved Digipoort for the information return discover the Kennisgeving needs something else entirely.</w:t>
      </w:r>
    </w:p>
    <w:p>
      <w:pPr>
        <w:pBdr>
          <w:bottom w:val="single" w:color="D9E0EC" w:sz="6" w:space="6"/>
        </w:pBdr>
        <w:spacing w:after="120" w:before="300"/>
      </w:pPr>
      <w:r>
        <w:rPr>
          <w:rFonts w:ascii="Calibri" w:cs="Calibri" w:eastAsia="Calibri" w:hAnsi="Calibri"/>
          <w:b/>
          <w:bCs/>
          <w:color w:val="2563EB"/>
          <w:sz w:val="26"/>
          <w:szCs w:val="26"/>
        </w:rPr>
        <w:t xml:space="preserve">2  </w:t>
      </w:r>
      <w:r>
        <w:rPr>
          <w:rFonts w:ascii="Calibri" w:cs="Calibri" w:eastAsia="Calibri" w:hAnsi="Calibri"/>
          <w:b/>
          <w:bCs/>
          <w:color w:val="10203F"/>
          <w:sz w:val="26"/>
          <w:szCs w:val="26"/>
        </w:rPr>
        <w:t xml:space="preserve">Two access routes, and a trap for advisers</w:t>
      </w:r>
    </w:p>
    <w:p>
      <w:pPr>
        <w:spacing w:after="140" w:before="0" w:line="276"/>
      </w:pPr>
      <w:r>
        <w:rPr>
          <w:rFonts w:ascii="Calibri" w:cs="Calibri" w:eastAsia="Calibri" w:hAnsi="Calibri"/>
          <w:color w:val="1F2937"/>
          <w:sz w:val="20"/>
          <w:szCs w:val="20"/>
        </w:rPr>
        <w:t xml:space="preserve">The Netherlands has no single lead time of the German kind. It has something more awkward: two separate access mechanisms, one of which quietly excludes the way most advisers work.</w:t>
      </w:r>
    </w:p>
    <w:p>
      <w:pPr>
        <w:spacing w:after="70" w:before="190"/>
      </w:pPr>
      <w:r>
        <w:rPr>
          <w:rFonts w:ascii="Calibri" w:cs="Calibri" w:eastAsia="Calibri" w:hAnsi="Calibri"/>
          <w:b/>
          <w:bCs/>
          <w:color w:val="10203F"/>
          <w:sz w:val="21"/>
          <w:szCs w:val="21"/>
        </w:rPr>
        <w:t xml:space="preserve">Digipoort, for the information return</w:t>
      </w:r>
    </w:p>
    <w:p>
      <w:pPr>
        <w:spacing w:after="130" w:before="0" w:line="276"/>
      </w:pPr>
      <w:r>
        <w:rPr>
          <w:rFonts w:ascii="Calibri" w:cs="Calibri" w:eastAsia="Calibri" w:hAnsi="Calibri"/>
          <w:color w:val="1F2937"/>
          <w:sz w:val="20"/>
          <w:szCs w:val="20"/>
        </w:rPr>
        <w:t xml:space="preserve">The BIA goes through Digipoort, the government machine-to-machine gateway operated by Logius. This is system-to-system filing, not a web form, and onboarding is a project rather than a login.</w:t>
      </w:r>
    </w:p>
    <w:p>
      <w:pPr>
        <w:spacing w:after="70" w:before="190"/>
      </w:pPr>
      <w:r>
        <w:rPr>
          <w:rFonts w:ascii="Calibri" w:cs="Calibri" w:eastAsia="Calibri" w:hAnsi="Calibri"/>
          <w:b/>
          <w:bCs/>
          <w:color w:val="10203F"/>
          <w:sz w:val="21"/>
          <w:szCs w:val="21"/>
        </w:rPr>
        <w:t xml:space="preserve">eHerkenning, for the notification</w:t>
      </w:r>
    </w:p>
    <w:p>
      <w:pPr>
        <w:spacing w:after="130" w:before="0" w:line="276"/>
      </w:pPr>
      <w:r>
        <w:rPr>
          <w:rFonts w:ascii="Calibri" w:cs="Calibri" w:eastAsia="Calibri" w:hAnsi="Calibri"/>
          <w:color w:val="1F2937"/>
          <w:sz w:val="20"/>
          <w:szCs w:val="20"/>
        </w:rPr>
        <w:t xml:space="preserve">The Kennisgeving needs eHerkenning with the specific service switched on. Holding eHerkenning is not sufficient; the particular authorisation has to be active for that service.</w:t>
      </w:r>
    </w:p>
    <w:tbl>
      <w:tblPr>
        <w:tblW w:type="dxa" w:w="9026"/>
        <w:tblBorders>
          <w:top w:val="single" w:color="B9CCF0" w:sz="2"/>
          <w:left w:val="single" w:color="B9CCF0" w:sz="18"/>
          <w:bottom w:val="single" w:color="B9CCF0" w:sz="2"/>
          <w:right w:val="single" w:color="B9CCF0" w:sz="2"/>
          <w:insideH w:val="none" w:color="FFFFFF" w:sz="0"/>
          <w:insideV w:val="none" w:color="FFFFFF" w:sz="0"/>
        </w:tblBorders>
        <w:tblLayout w:type="fixed"/>
      </w:tblPr>
      <w:tblGrid>
        <w:gridCol w:w="9026"/>
      </w:tblGrid>
      <w:tr>
        <w:tc>
          <w:tcPr>
            <w:tcW w:type="dxa" w:w="9026"/>
            <w:shd w:fill="EEF3FC" w:color="auto" w:val="clear"/>
            <w:tcMar>
              <w:top w:type="dxa" w:w="140"/>
              <w:left w:type="dxa" w:w="200"/>
              <w:bottom w:type="dxa" w:w="140"/>
              <w:right w:type="dxa" w:w="180"/>
            </w:tcMar>
          </w:tcPr>
          <w:p>
            <w:pPr>
              <w:spacing w:after="100"/>
            </w:pPr>
            <w:r>
              <w:rPr>
                <w:rFonts w:ascii="Calibri" w:cs="Calibri" w:eastAsia="Calibri" w:hAnsi="Calibri"/>
                <w:b/>
                <w:bCs/>
                <w:color w:val="5A6B87"/>
                <w:spacing w:val="30"/>
                <w:sz w:val="15"/>
                <w:szCs w:val="15"/>
              </w:rPr>
              <w:t xml:space="preserve">THE PART THAT CATCHES ADVISORY FIRMS</w:t>
            </w:r>
          </w:p>
          <w:p>
            <w:pPr>
              <w:spacing w:after="90" w:before="0" w:line="276"/>
            </w:pPr>
            <w:r>
              <w:rPr>
                <w:rFonts w:ascii="Calibri" w:cs="Calibri" w:eastAsia="Calibri" w:hAnsi="Calibri"/>
                <w:color w:val="1F2937"/>
                <w:sz w:val="20"/>
                <w:szCs w:val="20"/>
              </w:rPr>
              <w:t xml:space="preserve">Chain authorisation — ketenmachtiging — is NOT supported for tax service providers on the Kennisgeving. The mechanism that normally lets an adviser act for a client does not work here.</w:t>
            </w:r>
          </w:p>
          <w:p>
            <w:pPr>
              <w:spacing w:after="0" w:before="0" w:line="276"/>
            </w:pPr>
            <w:r>
              <w:rPr>
                <w:rFonts w:ascii="Calibri" w:cs="Calibri" w:eastAsia="Calibri" w:hAnsi="Calibri"/>
                <w:color w:val="1F2937"/>
                <w:sz w:val="20"/>
                <w:szCs w:val="20"/>
              </w:rPr>
              <w:t xml:space="preserve">If your plan was for your adviser to handle the Dutch notification the way they handle everything else, that plan does not run. Either the client obtains eHerkenning with the service enabled and files it themselves, or you find out in the final week.</w:t>
            </w:r>
          </w:p>
        </w:tc>
      </w:tr>
    </w:tbl>
    <w:p>
      <w:pPr>
        <w:pBdr>
          <w:bottom w:val="single" w:color="D9E0EC" w:sz="6" w:space="6"/>
        </w:pBdr>
        <w:spacing w:after="120" w:before="300"/>
      </w:pPr>
      <w:r>
        <w:rPr>
          <w:rFonts w:ascii="Calibri" w:cs="Calibri" w:eastAsia="Calibri" w:hAnsi="Calibri"/>
          <w:b/>
          <w:bCs/>
          <w:color w:val="2563EB"/>
          <w:sz w:val="26"/>
          <w:szCs w:val="26"/>
        </w:rPr>
        <w:t xml:space="preserve">3  </w:t>
      </w:r>
      <w:r>
        <w:rPr>
          <w:rFonts w:ascii="Calibri" w:cs="Calibri" w:eastAsia="Calibri" w:hAnsi="Calibri"/>
          <w:b/>
          <w:bCs/>
          <w:color w:val="10203F"/>
          <w:sz w:val="26"/>
          <w:szCs w:val="26"/>
        </w:rPr>
        <w:t xml:space="preserve">Submitted is not the same as filed</w:t>
      </w:r>
    </w:p>
    <w:p>
      <w:pPr>
        <w:spacing w:after="140" w:before="0" w:line="276"/>
      </w:pPr>
      <w:r>
        <w:rPr>
          <w:rFonts w:ascii="Calibri" w:cs="Calibri" w:eastAsia="Calibri" w:hAnsi="Calibri"/>
          <w:color w:val="1F2937"/>
          <w:sz w:val="20"/>
          <w:szCs w:val="20"/>
        </w:rPr>
        <w:t xml:space="preserve">A BIA pushed through Digipoort is not filed when you push it. It is filed when the verwerkingsverslag — the processing report — comes back confirming acceptance. Until then you have transmitted something, not filed it.</w:t>
      </w:r>
    </w:p>
    <w:p>
      <w:pPr>
        <w:spacing w:after="0" w:before="0" w:line="276"/>
      </w:pPr>
      <w:r>
        <w:rPr>
          <w:rFonts w:ascii="Calibri" w:cs="Calibri" w:eastAsia="Calibri" w:hAnsi="Calibri"/>
          <w:b/>
          <w:bCs/>
          <w:color w:val="1F2937"/>
          <w:sz w:val="20"/>
          <w:szCs w:val="20"/>
        </w:rPr>
        <w:t xml:space="preserve">Resubmission may be required. </w:t>
      </w:r>
      <w:r>
        <w:rPr>
          <w:rFonts w:ascii="Calibri" w:cs="Calibri" w:eastAsia="Calibri" w:hAnsi="Calibri"/>
          <w:color w:val="1F2937"/>
          <w:sz w:val="20"/>
          <w:szCs w:val="20"/>
        </w:rPr>
        <w:t xml:space="preserve">Build the processing report into your timeline as a checkpoint with time after it, not as a formality on the due date. A rejection discovered on the deadline is a missed deadline.</w:t>
      </w:r>
    </w:p>
    <w:p>
      <w:pPr>
        <w:pBdr>
          <w:bottom w:val="single" w:color="D9E0EC" w:sz="6" w:space="6"/>
        </w:pBdr>
        <w:spacing w:after="120" w:before="300"/>
      </w:pPr>
      <w:r>
        <w:rPr>
          <w:rFonts w:ascii="Calibri" w:cs="Calibri" w:eastAsia="Calibri" w:hAnsi="Calibri"/>
          <w:b/>
          <w:bCs/>
          <w:color w:val="2563EB"/>
          <w:sz w:val="26"/>
          <w:szCs w:val="26"/>
        </w:rPr>
        <w:t xml:space="preserve">4  </w:t>
      </w:r>
      <w:r>
        <w:rPr>
          <w:rFonts w:ascii="Calibri" w:cs="Calibri" w:eastAsia="Calibri" w:hAnsi="Calibri"/>
          <w:b/>
          <w:bCs/>
          <w:color w:val="10203F"/>
          <w:sz w:val="26"/>
          <w:szCs w:val="26"/>
        </w:rPr>
        <w:t xml:space="preserve">Penalties, and the waiver that expires this month</w:t>
      </w:r>
    </w:p>
    <w:p>
      <w:pPr>
        <w:spacing w:after="130" w:before="0" w:line="276"/>
      </w:pPr>
      <w:r>
        <w:rPr>
          <w:rFonts w:ascii="Calibri" w:cs="Calibri" w:eastAsia="Calibri" w:hAnsi="Calibri"/>
          <w:color w:val="1F2937"/>
          <w:sz w:val="20"/>
          <w:szCs w:val="20"/>
        </w:rPr>
        <w:t xml:space="preserve">The Belastingdienst waived the verzuimboete for late filing and late payment in the first filing period.</w:t>
      </w:r>
    </w:p>
    <w:tbl>
      <w:tblPr>
        <w:tblW w:type="dxa" w:w="9026"/>
        <w:tblBorders>
          <w:top w:val="single" w:color="E8B384" w:sz="2"/>
          <w:left w:val="single" w:color="E8B384" w:sz="18"/>
          <w:bottom w:val="single" w:color="E8B384" w:sz="2"/>
          <w:right w:val="single" w:color="E8B384" w:sz="2"/>
          <w:insideH w:val="none" w:color="FFFFFF" w:sz="0"/>
          <w:insideV w:val="none" w:color="FFFFFF" w:sz="0"/>
        </w:tblBorders>
        <w:tblLayout w:type="fixed"/>
      </w:tblPr>
      <w:tblGrid>
        <w:gridCol w:w="9026"/>
      </w:tblGrid>
      <w:tr>
        <w:tc>
          <w:tcPr>
            <w:tcW w:type="dxa" w:w="9026"/>
            <w:shd w:fill="FDF3E7" w:color="auto" w:val="clear"/>
            <w:tcMar>
              <w:top w:type="dxa" w:w="140"/>
              <w:left w:type="dxa" w:w="200"/>
              <w:bottom w:type="dxa" w:w="140"/>
              <w:right w:type="dxa" w:w="180"/>
            </w:tcMar>
          </w:tcPr>
          <w:p>
            <w:pPr>
              <w:spacing w:after="100"/>
            </w:pPr>
            <w:r>
              <w:rPr>
                <w:rFonts w:ascii="Calibri" w:cs="Calibri" w:eastAsia="Calibri" w:hAnsi="Calibri"/>
                <w:b/>
                <w:bCs/>
                <w:color w:val="5A6B87"/>
                <w:spacing w:val="30"/>
                <w:sz w:val="15"/>
                <w:szCs w:val="15"/>
              </w:rPr>
              <w:t xml:space="preserve">THE DATE THAT MATTERS</w:t>
            </w:r>
          </w:p>
          <w:p>
            <w:pPr>
              <w:spacing w:after="90" w:before="0" w:line="276"/>
            </w:pPr>
            <w:r>
              <w:rPr>
                <w:rFonts w:ascii="Calibri" w:cs="Calibri" w:eastAsia="Calibri" w:hAnsi="Calibri"/>
                <w:color w:val="1F2937"/>
                <w:sz w:val="20"/>
                <w:szCs w:val="20"/>
              </w:rPr>
              <w:t xml:space="preserve">The waiver runs to 31 October 2026. Penalties resume on 1 November 2026.</w:t>
            </w:r>
          </w:p>
          <w:p>
            <w:pPr>
              <w:spacing w:after="0" w:before="0" w:line="276"/>
            </w:pPr>
            <w:r>
              <w:rPr>
                <w:rFonts w:ascii="Calibri" w:cs="Calibri" w:eastAsia="Calibri" w:hAnsi="Calibri"/>
                <w:color w:val="1F2937"/>
                <w:sz w:val="20"/>
                <w:szCs w:val="20"/>
              </w:rPr>
              <w:t xml:space="preserve">If you have a Dutch filing that is late or about to be, the difference between dealing with it this month and next month is the difference between no penalty and a penalty.</w:t>
            </w:r>
          </w:p>
        </w:tc>
      </w:tr>
    </w:tbl>
    <w:p>
      <w:pPr>
        <w:spacing w:after="0" w:before="0" w:line="276"/>
      </w:pPr>
      <w:r>
        <w:rPr>
          <w:rFonts w:ascii="Calibri" w:cs="Calibri" w:eastAsia="Calibri" w:hAnsi="Calibri"/>
          <w:color w:val="1F2937"/>
          <w:sz w:val="20"/>
          <w:szCs w:val="20"/>
        </w:rPr>
        <w:t xml:space="preserve">The vergrijpboete amounts — for deliberate or grossly negligent behaviour — could not be read from the Staatscourant and are deliberately not stated here rather than guessed at.</w:t>
      </w:r>
    </w:p>
    <w:p>
      <w:pPr>
        <w:pBdr>
          <w:bottom w:val="single" w:color="D9E0EC" w:sz="6" w:space="6"/>
        </w:pBdr>
        <w:spacing w:after="120" w:before="300"/>
      </w:pPr>
      <w:r>
        <w:rPr>
          <w:rFonts w:ascii="Calibri" w:cs="Calibri" w:eastAsia="Calibri" w:hAnsi="Calibri"/>
          <w:b/>
          <w:bCs/>
          <w:color w:val="2563EB"/>
          <w:sz w:val="26"/>
          <w:szCs w:val="26"/>
        </w:rPr>
        <w:t xml:space="preserve">5  </w:t>
      </w:r>
      <w:r>
        <w:rPr>
          <w:rFonts w:ascii="Calibri" w:cs="Calibri" w:eastAsia="Calibri" w:hAnsi="Calibri"/>
          <w:b/>
          <w:bCs/>
          <w:color w:val="10203F"/>
          <w:sz w:val="26"/>
          <w:szCs w:val="26"/>
        </w:rPr>
        <w:t xml:space="preserve">A ninety-day checklist</w:t>
      </w:r>
    </w:p>
    <w:p>
      <w:pPr>
        <w:spacing w:after="130" w:before="0" w:line="276"/>
      </w:pPr>
      <w:r>
        <w:rPr>
          <w:rFonts w:ascii="Calibri" w:cs="Calibri" w:eastAsia="Calibri" w:hAnsi="Calibri"/>
          <w:color w:val="1F2937"/>
          <w:sz w:val="20"/>
          <w:szCs w:val="20"/>
        </w:rPr>
        <w:t xml:space="preserve">In order. The first two cost you time if left.</w:t>
      </w:r>
    </w:p>
    <w:p>
      <w:pPr>
        <w:pStyle w:val="ListParagraph"/>
        <w:numPr>
          <w:ilvl w:val="0"/>
          <w:numId w:val="2"/>
        </w:numPr>
        <w:spacing w:after="70" w:line="268"/>
      </w:pPr>
      <w:r>
        <w:rPr>
          <w:rFonts w:ascii="Calibri" w:cs="Calibri" w:eastAsia="Calibri" w:hAnsi="Calibri"/>
          <w:color w:val="1F2937"/>
          <w:sz w:val="20"/>
          <w:szCs w:val="20"/>
        </w:rPr>
        <w:t xml:space="preserve">Diarise TWO Dutch dates, not one: the information return at 15 months and the tax return at 17.</w:t>
      </w:r>
    </w:p>
    <w:p>
      <w:pPr>
        <w:pStyle w:val="ListParagraph"/>
        <w:numPr>
          <w:ilvl w:val="0"/>
          <w:numId w:val="2"/>
        </w:numPr>
        <w:spacing w:after="70" w:line="268"/>
      </w:pPr>
      <w:r>
        <w:rPr>
          <w:rFonts w:ascii="Calibri" w:cs="Calibri" w:eastAsia="Calibri" w:hAnsi="Calibri"/>
          <w:color w:val="1F2937"/>
          <w:sz w:val="20"/>
          <w:szCs w:val="20"/>
        </w:rPr>
        <w:t xml:space="preserve">Establish today whether anything Dutch is late. The penalty waiver ends 31 October 2026.</w:t>
      </w:r>
    </w:p>
    <w:p>
      <w:pPr>
        <w:pStyle w:val="ListParagraph"/>
        <w:numPr>
          <w:ilvl w:val="0"/>
          <w:numId w:val="2"/>
        </w:numPr>
        <w:spacing w:after="70" w:line="268"/>
      </w:pPr>
      <w:r>
        <w:rPr>
          <w:rFonts w:ascii="Calibri" w:cs="Calibri" w:eastAsia="Calibri" w:hAnsi="Calibri"/>
          <w:color w:val="1F2937"/>
          <w:sz w:val="20"/>
          <w:szCs w:val="20"/>
        </w:rPr>
        <w:t xml:space="preserve">Confirm who holds eHerkenning with the Kennisgeving service enabled. If the answer is "our adviser", that answer is wrong — chain authorisation does not work here.</w:t>
      </w:r>
    </w:p>
    <w:p>
      <w:pPr>
        <w:pStyle w:val="ListParagraph"/>
        <w:numPr>
          <w:ilvl w:val="0"/>
          <w:numId w:val="2"/>
        </w:numPr>
        <w:spacing w:after="70" w:line="268"/>
      </w:pPr>
      <w:r>
        <w:rPr>
          <w:rFonts w:ascii="Calibri" w:cs="Calibri" w:eastAsia="Calibri" w:hAnsi="Calibri"/>
          <w:color w:val="1F2937"/>
          <w:sz w:val="20"/>
          <w:szCs w:val="20"/>
        </w:rPr>
        <w:t xml:space="preserve">Check Digipoort onboarding status for the BIA. It is machine-to-machine filing and is not solved by having a login.</w:t>
      </w:r>
    </w:p>
    <w:p>
      <w:pPr>
        <w:pStyle w:val="ListParagraph"/>
        <w:numPr>
          <w:ilvl w:val="0"/>
          <w:numId w:val="2"/>
        </w:numPr>
        <w:spacing w:after="70" w:line="268"/>
      </w:pPr>
      <w:r>
        <w:rPr>
          <w:rFonts w:ascii="Calibri" w:cs="Calibri" w:eastAsia="Calibri" w:hAnsi="Calibri"/>
          <w:color w:val="1F2937"/>
          <w:sz w:val="20"/>
          <w:szCs w:val="20"/>
        </w:rPr>
        <w:t xml:space="preserve">Add the verwerkingsverslag to your timeline as a checkpoint with slack after it.</w:t>
      </w:r>
    </w:p>
    <w:p>
      <w:pPr>
        <w:pStyle w:val="ListParagraph"/>
        <w:numPr>
          <w:ilvl w:val="0"/>
          <w:numId w:val="2"/>
        </w:numPr>
        <w:spacing w:after="70" w:line="268"/>
      </w:pPr>
      <w:r>
        <w:rPr>
          <w:rFonts w:ascii="Calibri" w:cs="Calibri" w:eastAsia="Calibri" w:hAnsi="Calibri"/>
          <w:color w:val="1F2937"/>
          <w:sz w:val="20"/>
          <w:szCs w:val="20"/>
        </w:rPr>
        <w:t xml:space="preserve">Establish whether your BIA is filed in the Netherlands or abroad. If abroad, the Kennisgeving is your obligation, on the same deadline.</w:t>
      </w:r>
    </w:p>
    <w:p>
      <w:pPr>
        <w:pStyle w:val="ListParagraph"/>
        <w:numPr>
          <w:ilvl w:val="0"/>
          <w:numId w:val="2"/>
        </w:numPr>
        <w:spacing w:after="70" w:line="268"/>
      </w:pPr>
      <w:r>
        <w:rPr>
          <w:rFonts w:ascii="Calibri" w:cs="Calibri" w:eastAsia="Calibri" w:hAnsi="Calibri"/>
          <w:color w:val="1F2937"/>
          <w:sz w:val="20"/>
          <w:szCs w:val="20"/>
        </w:rPr>
        <w:t xml:space="preserve">Note that no extension is granted on the information return. There is no Dutch filing extension to fall back on.</w:t>
      </w:r>
    </w:p>
    <w:p>
      <w:pPr>
        <w:pBdr>
          <w:bottom w:val="single" w:color="D9E0EC" w:sz="6" w:space="6"/>
        </w:pBdr>
        <w:spacing w:after="120" w:before="300"/>
      </w:pPr>
      <w:r>
        <w:rPr>
          <w:rFonts w:ascii="Calibri" w:cs="Calibri" w:eastAsia="Calibri" w:hAnsi="Calibri"/>
          <w:b/>
          <w:bCs/>
          <w:color w:val="2563EB"/>
          <w:sz w:val="26"/>
          <w:szCs w:val="26"/>
        </w:rPr>
        <w:t xml:space="preserve">6  </w:t>
      </w:r>
      <w:r>
        <w:rPr>
          <w:rFonts w:ascii="Calibri" w:cs="Calibri" w:eastAsia="Calibri" w:hAnsi="Calibri"/>
          <w:b/>
          <w:bCs/>
          <w:color w:val="10203F"/>
          <w:sz w:val="26"/>
          <w:szCs w:val="26"/>
        </w:rPr>
        <w:t xml:space="preserve">Where every statement above comes from</w:t>
      </w:r>
    </w:p>
    <w:p>
      <w:pPr>
        <w:spacing w:after="140" w:before="0" w:line="276"/>
      </w:pPr>
      <w:r>
        <w:rPr>
          <w:rFonts w:ascii="Calibri" w:cs="Calibri" w:eastAsia="Calibri" w:hAnsi="Calibri"/>
          <w:color w:val="1F2937"/>
          <w:sz w:val="20"/>
          <w:szCs w:val="20"/>
        </w:rPr>
        <w:t xml:space="preserve">Checked against the Belastingdienst’s own published pages on 3 October 2026. Penalty amounts that could not be read from the primary source are left out rather than filled in.</w:t>
      </w:r>
    </w:p>
    <w:p>
      <w:pPr>
        <w:pStyle w:val="ListParagraph"/>
        <w:numPr>
          <w:ilvl w:val="0"/>
          <w:numId w:val="2"/>
        </w:numPr>
        <w:spacing w:after="70" w:line="268"/>
      </w:pPr>
      <w:r>
        <w:rPr>
          <w:rFonts w:ascii="Calibri" w:cs="Calibri" w:eastAsia="Calibri" w:hAnsi="Calibri"/>
          <w:color w:val="1F2937"/>
          <w:sz w:val="20"/>
          <w:szCs w:val="20"/>
        </w:rPr>
        <w:t xml:space="preserve">Bijheffing-informatieaangifte — Belastingdienst</w:t>
      </w:r>
    </w:p>
    <w:p>
      <w:pPr>
        <w:pStyle w:val="ListParagraph"/>
        <w:numPr>
          <w:ilvl w:val="0"/>
          <w:numId w:val="2"/>
        </w:numPr>
        <w:spacing w:after="70" w:line="268"/>
      </w:pPr>
      <w:r>
        <w:rPr>
          <w:rFonts w:ascii="Calibri" w:cs="Calibri" w:eastAsia="Calibri" w:hAnsi="Calibri"/>
          <w:color w:val="1F2937"/>
          <w:sz w:val="20"/>
          <w:szCs w:val="20"/>
        </w:rPr>
        <w:t xml:space="preserve">Kennisgeving — Belastingdienst</w:t>
      </w:r>
    </w:p>
    <w:p>
      <w:pPr>
        <w:pStyle w:val="ListParagraph"/>
        <w:numPr>
          <w:ilvl w:val="0"/>
          <w:numId w:val="2"/>
        </w:numPr>
        <w:spacing w:after="70" w:line="268"/>
      </w:pPr>
      <w:r>
        <w:rPr>
          <w:rFonts w:ascii="Calibri" w:cs="Calibri" w:eastAsia="Calibri" w:hAnsi="Calibri"/>
          <w:color w:val="1F2937"/>
          <w:sz w:val="20"/>
          <w:szCs w:val="20"/>
        </w:rPr>
        <w:t xml:space="preserve">Minimumbelasting: aangifte doen en betalen — Belastingdienst</w:t>
      </w:r>
    </w:p>
    <w:p>
      <w:pPr>
        <w:spacing w:after="120"/>
      </w:pPr>
    </w:p>
    <w:p>
      <w:pPr>
        <w:spacing w:after="160" w:before="0" w:line="276"/>
      </w:pPr>
      <w:r>
        <w:rPr>
          <w:rFonts w:ascii="Calibri" w:cs="Calibri" w:eastAsia="Calibri" w:hAnsi="Calibri"/>
          <w:b/>
          <w:bCs/>
          <w:color w:val="1F2937"/>
          <w:sz w:val="20"/>
          <w:szCs w:val="20"/>
        </w:rPr>
        <w:t xml:space="preserve">Live, dated and linked: </w:t>
      </w:r>
      <w:r>
        <w:rPr>
          <w:rFonts w:ascii="Calibri" w:cs="Calibri" w:eastAsia="Calibri" w:hAnsi="Calibri"/>
          <w:color w:val="1F2937"/>
          <w:sz w:val="20"/>
          <w:szCs w:val="20"/>
        </w:rPr>
        <w:t xml:space="preserve">every row behind this sheet sits in the obligation tracker at saurabhsatija.com/tracker, with a link to the authority page it came from and the date it was last checked.</w:t>
      </w:r>
    </w:p>
    <w:p>
      <w:pPr>
        <w:pBdr>
          <w:top w:val="single" w:color="D9E0EC" w:sz="6" w:space="10"/>
        </w:pBdr>
        <w:spacing w:after="0" w:before="120"/>
      </w:pPr>
      <w:r>
        <w:rPr>
          <w:rFonts w:ascii="Calibri" w:cs="Calibri" w:eastAsia="Calibri" w:hAnsi="Calibri"/>
          <w:i/>
          <w:iCs/>
          <w:color w:val="5A6B87"/>
          <w:sz w:val="15"/>
          <w:szCs w:val="15"/>
        </w:rPr>
        <w:t xml:space="preserve">Saurabh Satija — VP Sales, UK &amp; Ireland and Global Head, BEPS &amp; Pillar Two, DataTracks, London. This is a scoping aid, not tax advice, and not my employer’s view. Verify against the Belastingdienst before you file. © 2026 Saurabh Satija.</w:t>
      </w:r>
    </w:p>
    <w:sectPr>
      <w:pgSz w:w="11906" w:h="16838" w:orient="portrait"/>
      <w:pgMar w:top="1296" w:right="1440" w:bottom="1296" w:left="144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360" w:hanging="200"/>
      </w:pPr>
    </w:lvl>
    <w:lvl w:ilvl="1" w:tentative="1">
      <w:start w:val="1"/>
      <w:numFmt w:val="bullet"/>
      <w:lvlText w:val="–"/>
      <w:lvlJc w:val="left"/>
      <w:pPr>
        <w:ind w:left="720" w:hanging="20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Filing Pillar Two in the Netherlands — readiness cheat sheet</dc:title>
  <dc:creator>Saurabh Satija</dc:creator>
  <dc:description>Three filings on two clocks, two access routes, and a penalty waiver expiring 31 October 2026.</dc:description>
  <cp:lastModifiedBy>Un-named</cp:lastModifiedBy>
  <cp:revision>1</cp:revision>
  <dcterms:created xsi:type="dcterms:W3CDTF">2026-10-08T08:05:08.251Z</dcterms:created>
  <dcterms:modified xsi:type="dcterms:W3CDTF">2026-10-08T08:05:08.260Z</dcterms:modified>
</cp:coreProperties>
</file>

<file path=docProps/custom.xml><?xml version="1.0" encoding="utf-8"?>
<Properties xmlns="http://schemas.openxmlformats.org/officeDocument/2006/custom-properties" xmlns:vt="http://schemas.openxmlformats.org/officeDocument/2006/docPropsVTypes"/>
</file>