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rFonts w:ascii="Calibri" w:cs="Calibri" w:eastAsia="Calibri" w:hAnsi="Calibri"/>
          <w:b/>
          <w:bCs/>
          <w:color w:val="5A6B87"/>
          <w:spacing w:val="30"/>
          <w:sz w:val="15"/>
          <w:szCs w:val="15"/>
        </w:rPr>
        <w:t xml:space="preserve">GERMANY · FILING READINESS CHEAT SHEET · OCTOBER 2026</w:t>
      </w:r>
    </w:p>
    <w:p>
      <w:pPr>
        <w:spacing w:after="60" w:before="0"/>
      </w:pPr>
      <w:r>
        <w:rPr>
          <w:rFonts w:ascii="Calibri" w:cs="Calibri" w:eastAsia="Calibri" w:hAnsi="Calibri"/>
          <w:b/>
          <w:bCs/>
          <w:color w:val="10203F"/>
          <w:sz w:val="40"/>
          <w:szCs w:val="40"/>
        </w:rPr>
        <w:t xml:space="preserve">Filing Pillar Two in Germany</w:t>
      </w:r>
    </w:p>
    <w:p>
      <w:pPr>
        <w:spacing w:after="160" w:before="0" w:line="276"/>
      </w:pPr>
      <w:r>
        <w:rPr>
          <w:rFonts w:ascii="Calibri" w:cs="Calibri" w:eastAsia="Calibri" w:hAnsi="Calibri"/>
          <w:b/>
          <w:bCs/>
          <w:color w:val="10203F"/>
          <w:sz w:val="23"/>
          <w:szCs w:val="23"/>
        </w:rPr>
        <w:t xml:space="preserve">Three filings, two authorities, and a six-to-eight-week queue before you can submit anything at all.</w:t>
      </w:r>
    </w:p>
    <w:p>
      <w:pPr>
        <w:spacing w:after="200" w:before="0" w:line="276"/>
      </w:pPr>
      <w:r>
        <w:rPr>
          <w:rFonts w:ascii="Calibri" w:cs="Calibri" w:eastAsia="Calibri" w:hAnsi="Calibri"/>
          <w:color w:val="1F2937"/>
          <w:sz w:val="20"/>
          <w:szCs w:val="20"/>
        </w:rPr>
        <w:t xml:space="preserve">Germany is not a hard jurisdiction to compute. It is a hard jurisdiction to reach. The work that decides whether a German group makes its deadline is administrative, it happens months before the deadline, and nothing about the deadline itself tells you that. This sheet sets out what has to happen, in the order it has to happen, with the dates the authorities themselves publish.</w:t>
      </w:r>
    </w:p>
    <w:tbl>
      <w:tblPr>
        <w:tblW w:type="dxa" w:w="9026"/>
        <w:tblBorders>
          <w:top w:val="single" w:color="E8B384" w:sz="2"/>
          <w:left w:val="single" w:color="E8B384" w:sz="18"/>
          <w:bottom w:val="single" w:color="E8B384" w:sz="2"/>
          <w:right w:val="single" w:color="E8B384" w:sz="2"/>
          <w:insideH w:val="none" w:color="FFFFFF" w:sz="0"/>
          <w:insideV w:val="none" w:color="FFFFFF" w:sz="0"/>
        </w:tblBorders>
        <w:tblLayout w:type="fixed"/>
      </w:tblPr>
      <w:tblGrid>
        <w:gridCol w:w="9026"/>
      </w:tblGrid>
      <w:tr>
        <w:tc>
          <w:tcPr>
            <w:tcW w:type="dxa" w:w="9026"/>
            <w:shd w:fill="FDF3E7" w:color="auto" w:val="clear"/>
            <w:tcMar>
              <w:top w:type="dxa" w:w="140"/>
              <w:left w:type="dxa" w:w="200"/>
              <w:bottom w:type="dxa" w:w="140"/>
              <w:right w:type="dxa" w:w="180"/>
            </w:tcMar>
          </w:tcPr>
          <w:p>
            <w:pPr>
              <w:spacing w:after="100"/>
            </w:pPr>
            <w:r>
              <w:rPr>
                <w:rFonts w:ascii="Calibri" w:cs="Calibri" w:eastAsia="Calibri" w:hAnsi="Calibri"/>
                <w:b/>
                <w:bCs/>
                <w:color w:val="5A6B87"/>
                <w:spacing w:val="30"/>
                <w:sz w:val="15"/>
                <w:szCs w:val="15"/>
              </w:rPr>
              <w:t xml:space="preserve">START HERE, IF YOU READ NOTHING ELSE</w:t>
            </w:r>
          </w:p>
          <w:p>
            <w:pPr>
              <w:spacing w:after="90" w:before="0" w:line="276"/>
            </w:pPr>
            <w:r>
              <w:rPr>
                <w:rFonts w:ascii="Calibri" w:cs="Calibri" w:eastAsia="Calibri" w:hAnsi="Calibri"/>
                <w:color w:val="1F2937"/>
                <w:sz w:val="20"/>
                <w:szCs w:val="20"/>
              </w:rPr>
              <w:t xml:space="preserve">If your group has not yet registered with the Bundeszentralamt für Steuern, that is your critical path — not the filing date. The BZSt states its own registration process can take six to eight weeks, and part of it runs by post.</w:t>
            </w:r>
          </w:p>
          <w:p>
            <w:pPr>
              <w:spacing w:after="0" w:before="0" w:line="276"/>
            </w:pPr>
            <w:r>
              <w:rPr>
                <w:rFonts w:ascii="Calibri" w:cs="Calibri" w:eastAsia="Calibri" w:hAnsi="Calibri"/>
                <w:color w:val="1F2937"/>
                <w:sz w:val="20"/>
                <w:szCs w:val="20"/>
              </w:rPr>
              <w:t xml:space="preserve">Separately: receiving structured electronic invoices has been compulsory in Germany since 1 January 2025. That obligation is already live, it applies to every domestic business, and a large number of groups have not met it.</w:t>
            </w:r>
          </w:p>
        </w:tc>
      </w:tr>
    </w:tbl>
    <w:p>
      <w:pPr>
        <w:pBdr>
          <w:bottom w:val="single" w:color="D9E0EC" w:sz="6" w:space="6"/>
        </w:pBdr>
        <w:spacing w:after="120" w:before="300"/>
      </w:pPr>
      <w:r>
        <w:rPr>
          <w:rFonts w:ascii="Calibri" w:cs="Calibri" w:eastAsia="Calibri" w:hAnsi="Calibri"/>
          <w:b/>
          <w:bCs/>
          <w:color w:val="2563EB"/>
          <w:sz w:val="26"/>
          <w:szCs w:val="26"/>
        </w:rPr>
        <w:t xml:space="preserve">1  </w:t>
      </w:r>
      <w:r>
        <w:rPr>
          <w:rFonts w:ascii="Calibri" w:cs="Calibri" w:eastAsia="Calibri" w:hAnsi="Calibri"/>
          <w:b/>
          <w:bCs/>
          <w:color w:val="10203F"/>
          <w:sz w:val="26"/>
          <w:szCs w:val="26"/>
        </w:rPr>
        <w:t xml:space="preserve">What Germany actually asks for</w:t>
      </w:r>
    </w:p>
    <w:p>
      <w:pPr>
        <w:spacing w:after="150" w:before="0" w:line="276"/>
      </w:pPr>
      <w:r>
        <w:rPr>
          <w:rFonts w:ascii="Calibri" w:cs="Calibri" w:eastAsia="Calibri" w:hAnsi="Calibri"/>
          <w:color w:val="1F2937"/>
          <w:sz w:val="20"/>
          <w:szCs w:val="20"/>
        </w:rPr>
        <w:t xml:space="preserve">One Pillar Two regime produces three separate submissions in Germany, and they do not go to the same place. Two go to the federal office; one goes to your state tax office. Treating this as "the German filing" is the most common scoping error.</w:t>
      </w:r>
    </w:p>
    <w:tbl>
      <w:tblPr>
        <w:tblW w:type="dxa" w:w="9026"/>
        <w:tblBorders>
          <w:top w:val="single" w:color="D9E0EC" w:sz="2"/>
          <w:left w:val="none" w:color="FFFFFF" w:sz="0"/>
          <w:bottom w:val="single" w:color="D9E0EC" w:sz="2"/>
          <w:right w:val="none" w:color="FFFFFF" w:sz="0"/>
          <w:insideH w:val="single" w:color="D9E0EC" w:sz="2"/>
          <w:insideV w:val="single" w:color="D9E0EC" w:sz="2"/>
        </w:tblBorders>
        <w:tblLayout w:type="fixed"/>
      </w:tblPr>
      <w:tblGrid>
        <w:gridCol w:w="2320"/>
        <w:gridCol w:w="2560"/>
        <w:gridCol w:w="2250"/>
        <w:gridCol w:w="1896"/>
      </w:tblGrid>
      <w:tr>
        <w:trPr>
          <w:cantSplit/>
          <w:tblHeader/>
        </w:trPr>
        <w:tc>
          <w:tcPr>
            <w:tcW w:type="dxa" w:w="2320"/>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Submission</w:t>
            </w:r>
          </w:p>
        </w:tc>
        <w:tc>
          <w:tcPr>
            <w:tcW w:type="dxa" w:w="2560"/>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What it is</w:t>
            </w:r>
          </w:p>
        </w:tc>
        <w:tc>
          <w:tcPr>
            <w:tcW w:type="dxa" w:w="2250"/>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When it is due</w:t>
            </w:r>
          </w:p>
        </w:tc>
        <w:tc>
          <w:tcPr>
            <w:tcW w:type="dxa" w:w="1896"/>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Where it goes</w:t>
            </w:r>
          </w:p>
        </w:tc>
      </w:tr>
      <w:tr>
        <w:trPr>
          <w:cantSplit/>
        </w:trPr>
        <w:tc>
          <w:tcPr>
            <w:tcW w:type="dxa" w:w="2320"/>
            <w:shd w:fill="FFFFFF" w:color="auto" w:val="clear"/>
            <w:tcMar>
              <w:top w:type="dxa" w:w="90"/>
              <w:left w:type="dxa" w:w="130"/>
              <w:bottom w:type="dxa" w:w="90"/>
              <w:right w:type="dxa" w:w="130"/>
            </w:tcMar>
          </w:tcPr>
          <w:p>
            <w:pPr>
              <w:spacing w:after="60" w:line="254"/>
            </w:pPr>
            <w:r>
              <w:rPr>
                <w:rFonts w:ascii="Calibri" w:cs="Calibri" w:eastAsia="Calibri" w:hAnsi="Calibri"/>
                <w:b/>
                <w:bCs/>
                <w:color w:val="1F2937"/>
                <w:sz w:val="17"/>
                <w:szCs w:val="17"/>
              </w:rPr>
              <w:t xml:space="preserve">Gruppenträgermeldung</w:t>
            </w:r>
          </w:p>
          <w:p>
            <w:pPr>
              <w:spacing w:after="0" w:line="254"/>
            </w:pPr>
            <w:r>
              <w:rPr>
                <w:rFonts w:ascii="Calibri" w:cs="Calibri" w:eastAsia="Calibri" w:hAnsi="Calibri"/>
                <w:b w:val="false"/>
                <w:bCs w:val="false"/>
                <w:color w:val="1F2937"/>
                <w:sz w:val="17"/>
                <w:szCs w:val="17"/>
              </w:rPr>
              <w:t xml:space="preserve">(GTM)</w:t>
            </w:r>
          </w:p>
        </w:tc>
        <w:tc>
          <w:tcPr>
            <w:tcW w:type="dxa" w:w="2560"/>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A notification identifying the Gruppenträger — the entity that carries the group's minimum tax obligations.</w:t>
            </w:r>
          </w:p>
        </w:tc>
        <w:tc>
          <w:tcPr>
            <w:tcW w:type="dxa" w:w="2250"/>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No later than 2 months after the end of the taxable period.</w:t>
            </w:r>
          </w:p>
        </w:tc>
        <w:tc>
          <w:tcPr>
            <w:tcW w:type="dxa" w:w="1896"/>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BZSt online portal, electronic form</w:t>
            </w:r>
          </w:p>
        </w:tc>
      </w:tr>
      <w:tr>
        <w:trPr>
          <w:cantSplit/>
        </w:trPr>
        <w:tc>
          <w:tcPr>
            <w:tcW w:type="dxa" w:w="2320"/>
            <w:shd w:fill="F7F9FC" w:color="auto" w:val="clear"/>
            <w:tcMar>
              <w:top w:type="dxa" w:w="90"/>
              <w:left w:type="dxa" w:w="130"/>
              <w:bottom w:type="dxa" w:w="90"/>
              <w:right w:type="dxa" w:w="130"/>
            </w:tcMar>
          </w:tcPr>
          <w:p>
            <w:pPr>
              <w:spacing w:after="60" w:line="254"/>
            </w:pPr>
            <w:r>
              <w:rPr>
                <w:rFonts w:ascii="Calibri" w:cs="Calibri" w:eastAsia="Calibri" w:hAnsi="Calibri"/>
                <w:b/>
                <w:bCs/>
                <w:color w:val="1F2937"/>
                <w:sz w:val="17"/>
                <w:szCs w:val="17"/>
              </w:rPr>
              <w:t xml:space="preserve">Mindeststeuer-Bericht</w:t>
            </w:r>
          </w:p>
          <w:p>
            <w:pPr>
              <w:spacing w:after="0" w:line="254"/>
            </w:pPr>
            <w:r>
              <w:rPr>
                <w:rFonts w:ascii="Calibri" w:cs="Calibri" w:eastAsia="Calibri" w:hAnsi="Calibri"/>
                <w:b w:val="false"/>
                <w:bCs w:val="false"/>
                <w:color w:val="1F2937"/>
                <w:sz w:val="17"/>
                <w:szCs w:val="17"/>
              </w:rPr>
              <w:t xml:space="preserve">(the GIR)</w:t>
            </w:r>
          </w:p>
        </w:tc>
        <w:tc>
          <w:tcPr>
            <w:tcW w:type="dxa" w:w="2560"/>
            <w:shd w:fill="F7F9FC"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The GloBE Information Return, submitted as XML.</w:t>
            </w:r>
          </w:p>
        </w:tc>
        <w:tc>
          <w:tcPr>
            <w:tcW w:type="dxa" w:w="2250"/>
            <w:shd w:fill="F7F9FC"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15 months after the fiscal year end; 18 months for your first in-scope year. Never before 30 June 2026.</w:t>
            </w:r>
          </w:p>
        </w:tc>
        <w:tc>
          <w:tcPr>
            <w:tcW w:type="dxa" w:w="1896"/>
            <w:shd w:fill="F7F9FC"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BZSt online portal XML upload, or the DIP mass-data interface</w:t>
            </w:r>
          </w:p>
        </w:tc>
      </w:tr>
      <w:tr>
        <w:trPr>
          <w:cantSplit/>
        </w:trPr>
        <w:tc>
          <w:tcPr>
            <w:tcW w:type="dxa" w:w="2320"/>
            <w:shd w:fill="FFFFFF" w:color="auto" w:val="clear"/>
            <w:tcMar>
              <w:top w:type="dxa" w:w="90"/>
              <w:left w:type="dxa" w:w="130"/>
              <w:bottom w:type="dxa" w:w="90"/>
              <w:right w:type="dxa" w:w="130"/>
            </w:tcMar>
          </w:tcPr>
          <w:p>
            <w:pPr>
              <w:spacing w:after="0" w:line="254"/>
            </w:pPr>
            <w:r>
              <w:rPr>
                <w:rFonts w:ascii="Calibri" w:cs="Calibri" w:eastAsia="Calibri" w:hAnsi="Calibri"/>
                <w:b/>
                <w:bCs/>
                <w:color w:val="1F2937"/>
                <w:sz w:val="17"/>
                <w:szCs w:val="17"/>
              </w:rPr>
              <w:t xml:space="preserve">Mindeststeuererklärung</w:t>
            </w:r>
          </w:p>
        </w:tc>
        <w:tc>
          <w:tcPr>
            <w:tcW w:type="dxa" w:w="2560"/>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The self-assessment return. A separate document from the Bericht, not a copy of it.</w:t>
            </w:r>
          </w:p>
        </w:tc>
        <w:tc>
          <w:tcPr>
            <w:tcW w:type="dxa" w:w="2250"/>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General return rules under § 149(2) AO. Never earlier than the GIR deadline.</w:t>
            </w:r>
          </w:p>
        </w:tc>
        <w:tc>
          <w:tcPr>
            <w:tcW w:type="dxa" w:w="1896"/>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ELSTER, to your competent state tax authority — not the BZSt</w:t>
            </w:r>
          </w:p>
        </w:tc>
      </w:tr>
    </w:tbl>
    <w:p>
      <w:pPr>
        <w:spacing w:after="120"/>
      </w:pPr>
    </w:p>
    <w:p>
      <w:pPr>
        <w:spacing w:after="0" w:before="0" w:line="276"/>
      </w:pPr>
      <w:r>
        <w:rPr>
          <w:rFonts w:ascii="Calibri" w:cs="Calibri" w:eastAsia="Calibri" w:hAnsi="Calibri"/>
          <w:b/>
          <w:bCs/>
          <w:color w:val="1F2937"/>
          <w:sz w:val="20"/>
          <w:szCs w:val="20"/>
        </w:rPr>
        <w:t xml:space="preserve">The two-month notification is the one that bites. </w:t>
      </w:r>
      <w:r>
        <w:rPr>
          <w:rFonts w:ascii="Calibri" w:cs="Calibri" w:eastAsia="Calibri" w:hAnsi="Calibri"/>
          <w:color w:val="1F2937"/>
          <w:sz w:val="20"/>
          <w:szCs w:val="20"/>
        </w:rPr>
        <w:t xml:space="preserve">For a 31 December year end it falls at the end of February — roughly thirteen months before the return most people are planning around. A group that discovers Germany in the autumn has already missed it.</w:t>
      </w:r>
    </w:p>
    <w:p>
      <w:pPr>
        <w:pBdr>
          <w:bottom w:val="single" w:color="D9E0EC" w:sz="6" w:space="6"/>
        </w:pBdr>
        <w:spacing w:after="120" w:before="300"/>
      </w:pPr>
      <w:r>
        <w:rPr>
          <w:rFonts w:ascii="Calibri" w:cs="Calibri" w:eastAsia="Calibri" w:hAnsi="Calibri"/>
          <w:b/>
          <w:bCs/>
          <w:color w:val="2563EB"/>
          <w:sz w:val="26"/>
          <w:szCs w:val="26"/>
        </w:rPr>
        <w:t xml:space="preserve">2  </w:t>
      </w:r>
      <w:r>
        <w:rPr>
          <w:rFonts w:ascii="Calibri" w:cs="Calibri" w:eastAsia="Calibri" w:hAnsi="Calibri"/>
          <w:b/>
          <w:bCs/>
          <w:color w:val="10203F"/>
          <w:sz w:val="26"/>
          <w:szCs w:val="26"/>
        </w:rPr>
        <w:t xml:space="preserve">Getting access: the part that takes two months</w:t>
      </w:r>
    </w:p>
    <w:p>
      <w:pPr>
        <w:spacing w:after="150" w:before="0" w:line="276"/>
      </w:pPr>
      <w:r>
        <w:rPr>
          <w:rFonts w:ascii="Calibri" w:cs="Calibri" w:eastAsia="Calibri" w:hAnsi="Calibri"/>
          <w:color w:val="1F2937"/>
          <w:sz w:val="20"/>
          <w:szCs w:val="20"/>
        </w:rPr>
        <w:t xml:space="preserve">You cannot file anything into the BZSt portal without a certificate, and you cannot get a certificate quickly. The sequence below is the BZSt's own, and the reason it takes six to eight weeks is that one step travels by post.</w:t>
      </w:r>
    </w:p>
    <w:p>
      <w:pPr>
        <w:spacing w:after="100" w:line="268"/>
        <w:ind w:left="360" w:hanging="360"/>
      </w:pPr>
      <w:r>
        <w:rPr>
          <w:rFonts w:ascii="Calibri" w:cs="Calibri" w:eastAsia="Calibri" w:hAnsi="Calibri"/>
          <w:b/>
          <w:bCs/>
          <w:color w:val="2563EB"/>
          <w:sz w:val="20"/>
          <w:szCs w:val="20"/>
        </w:rPr>
        <w:t xml:space="preserve">1.  </w:t>
      </w:r>
      <w:r>
        <w:rPr>
          <w:rFonts w:ascii="Calibri" w:cs="Calibri" w:eastAsia="Calibri" w:hAnsi="Calibri"/>
          <w:b/>
          <w:bCs/>
          <w:color w:val="10203F"/>
          <w:sz w:val="20"/>
          <w:szCs w:val="20"/>
        </w:rPr>
        <w:t xml:space="preserve">Submit the registration form. </w:t>
      </w:r>
      <w:r>
        <w:rPr>
          <w:rFonts w:ascii="Calibri" w:cs="Calibri" w:eastAsia="Calibri" w:hAnsi="Calibri"/>
          <w:color w:val="1F2937"/>
          <w:sz w:val="20"/>
          <w:szCs w:val="20"/>
        </w:rPr>
        <w:t xml:space="preserve">Done online with the BZSt.</w:t>
      </w:r>
    </w:p>
    <w:p>
      <w:pPr>
        <w:spacing w:after="100" w:line="268"/>
        <w:ind w:left="360" w:hanging="360"/>
      </w:pPr>
      <w:r>
        <w:rPr>
          <w:rFonts w:ascii="Calibri" w:cs="Calibri" w:eastAsia="Calibri" w:hAnsi="Calibri"/>
          <w:b/>
          <w:bCs/>
          <w:color w:val="2563EB"/>
          <w:sz w:val="20"/>
          <w:szCs w:val="20"/>
        </w:rPr>
        <w:t xml:space="preserve">2.  </w:t>
      </w:r>
      <w:r>
        <w:rPr>
          <w:rFonts w:ascii="Calibri" w:cs="Calibri" w:eastAsia="Calibri" w:hAnsi="Calibri"/>
          <w:b/>
          <w:bCs/>
          <w:color w:val="10203F"/>
          <w:sz w:val="20"/>
          <w:szCs w:val="20"/>
        </w:rPr>
        <w:t xml:space="preserve">Email a Handelsregisterauszug. </w:t>
      </w:r>
      <w:r>
        <w:rPr>
          <w:rFonts w:ascii="Calibri" w:cs="Calibri" w:eastAsia="Calibri" w:hAnsi="Calibri"/>
          <w:color w:val="1F2937"/>
          <w:sz w:val="20"/>
          <w:szCs w:val="20"/>
        </w:rPr>
        <w:t xml:space="preserve">A current commercial register extract, sent separately from the form.</w:t>
      </w:r>
    </w:p>
    <w:p>
      <w:pPr>
        <w:spacing w:after="100" w:line="268"/>
        <w:ind w:left="360" w:hanging="360"/>
      </w:pPr>
      <w:r>
        <w:rPr>
          <w:rFonts w:ascii="Calibri" w:cs="Calibri" w:eastAsia="Calibri" w:hAnsi="Calibri"/>
          <w:b/>
          <w:bCs/>
          <w:color w:val="2563EB"/>
          <w:sz w:val="20"/>
          <w:szCs w:val="20"/>
        </w:rPr>
        <w:t xml:space="preserve">3.  </w:t>
      </w:r>
      <w:r>
        <w:rPr>
          <w:rFonts w:ascii="Calibri" w:cs="Calibri" w:eastAsia="Calibri" w:hAnsi="Calibri"/>
          <w:b/>
          <w:bCs/>
          <w:color w:val="10203F"/>
          <w:sz w:val="20"/>
          <w:szCs w:val="20"/>
        </w:rPr>
        <w:t xml:space="preserve">Wait for the BZSt-Nummer to arrive by post. </w:t>
      </w:r>
      <w:r>
        <w:rPr>
          <w:rFonts w:ascii="Calibri" w:cs="Calibri" w:eastAsia="Calibri" w:hAnsi="Calibri"/>
          <w:color w:val="1F2937"/>
          <w:sz w:val="20"/>
          <w:szCs w:val="20"/>
        </w:rPr>
        <w:t xml:space="preserve">This is the step you cannot compress, chase or expedite.</w:t>
      </w:r>
    </w:p>
    <w:p>
      <w:pPr>
        <w:spacing w:after="100" w:line="268"/>
        <w:ind w:left="360" w:hanging="360"/>
      </w:pPr>
      <w:r>
        <w:rPr>
          <w:rFonts w:ascii="Calibri" w:cs="Calibri" w:eastAsia="Calibri" w:hAnsi="Calibri"/>
          <w:b/>
          <w:bCs/>
          <w:color w:val="2563EB"/>
          <w:sz w:val="20"/>
          <w:szCs w:val="20"/>
        </w:rPr>
        <w:t xml:space="preserve">4.  </w:t>
      </w:r>
      <w:r>
        <w:rPr>
          <w:rFonts w:ascii="Calibri" w:cs="Calibri" w:eastAsia="Calibri" w:hAnsi="Calibri"/>
          <w:b/>
          <w:bCs/>
          <w:color w:val="10203F"/>
          <w:sz w:val="20"/>
          <w:szCs w:val="20"/>
        </w:rPr>
        <w:t xml:space="preserve">Receive the secret code by email. </w:t>
      </w:r>
      <w:r>
        <w:rPr>
          <w:rFonts w:ascii="Calibri" w:cs="Calibri" w:eastAsia="Calibri" w:hAnsi="Calibri"/>
          <w:color w:val="1F2937"/>
          <w:sz w:val="20"/>
          <w:szCs w:val="20"/>
        </w:rPr>
        <w:t xml:space="preserve">Sent separately from the number, for obvious reasons.</w:t>
      </w:r>
    </w:p>
    <w:p>
      <w:pPr>
        <w:spacing w:after="100" w:line="268"/>
        <w:ind w:left="360" w:hanging="360"/>
      </w:pPr>
      <w:r>
        <w:rPr>
          <w:rFonts w:ascii="Calibri" w:cs="Calibri" w:eastAsia="Calibri" w:hAnsi="Calibri"/>
          <w:b/>
          <w:bCs/>
          <w:color w:val="2563EB"/>
          <w:sz w:val="20"/>
          <w:szCs w:val="20"/>
        </w:rPr>
        <w:t xml:space="preserve">5.  </w:t>
      </w:r>
      <w:r>
        <w:rPr>
          <w:rFonts w:ascii="Calibri" w:cs="Calibri" w:eastAsia="Calibri" w:hAnsi="Calibri"/>
          <w:b/>
          <w:bCs/>
          <w:color w:val="10203F"/>
          <w:sz w:val="20"/>
          <w:szCs w:val="20"/>
        </w:rPr>
        <w:t xml:space="preserve">Generate the certificate. </w:t>
      </w:r>
      <w:r>
        <w:rPr>
          <w:rFonts w:ascii="Calibri" w:cs="Calibri" w:eastAsia="Calibri" w:hAnsi="Calibri"/>
          <w:color w:val="1F2937"/>
          <w:sz w:val="20"/>
          <w:szCs w:val="20"/>
        </w:rPr>
        <w:t xml:space="preserve">Only now can anything be transmitted.</w:t>
      </w:r>
    </w:p>
    <w:p>
      <w:pPr>
        <w:spacing w:after="80"/>
      </w:pPr>
    </w:p>
    <w:tbl>
      <w:tblPr>
        <w:tblW w:type="dxa" w:w="9026"/>
        <w:tblBorders>
          <w:top w:val="single" w:color="B9CCF0" w:sz="2"/>
          <w:left w:val="single" w:color="B9CCF0" w:sz="18"/>
          <w:bottom w:val="single" w:color="B9CCF0" w:sz="2"/>
          <w:right w:val="single" w:color="B9CCF0" w:sz="2"/>
          <w:insideH w:val="none" w:color="FFFFFF" w:sz="0"/>
          <w:insideV w:val="none" w:color="FFFFFF" w:sz="0"/>
        </w:tblBorders>
        <w:tblLayout w:type="fixed"/>
      </w:tblPr>
      <w:tblGrid>
        <w:gridCol w:w="9026"/>
      </w:tblGrid>
      <w:tr>
        <w:tc>
          <w:tcPr>
            <w:tcW w:type="dxa" w:w="9026"/>
            <w:shd w:fill="EEF3FC" w:color="auto" w:val="clear"/>
            <w:tcMar>
              <w:top w:type="dxa" w:w="140"/>
              <w:left w:type="dxa" w:w="200"/>
              <w:bottom w:type="dxa" w:w="140"/>
              <w:right w:type="dxa" w:w="180"/>
            </w:tcMar>
          </w:tcPr>
          <w:p>
            <w:pPr>
              <w:spacing w:after="100"/>
            </w:pPr>
            <w:r>
              <w:rPr>
                <w:rFonts w:ascii="Calibri" w:cs="Calibri" w:eastAsia="Calibri" w:hAnsi="Calibri"/>
                <w:b/>
                <w:bCs/>
                <w:color w:val="5A6B87"/>
                <w:spacing w:val="30"/>
                <w:sz w:val="15"/>
                <w:szCs w:val="15"/>
              </w:rPr>
              <w:t xml:space="preserve">WHAT THIS MEANS FOR YOUR PLAN</w:t>
            </w:r>
          </w:p>
          <w:p>
            <w:pPr>
              <w:spacing w:after="90" w:before="0" w:line="276"/>
            </w:pPr>
            <w:r>
              <w:rPr>
                <w:rFonts w:ascii="Calibri" w:cs="Calibri" w:eastAsia="Calibri" w:hAnsi="Calibri"/>
                <w:color w:val="1F2937"/>
                <w:sz w:val="20"/>
                <w:szCs w:val="20"/>
              </w:rPr>
              <w:t xml:space="preserve">Count backwards from your earliest German submission and add eight weeks, then add contingency for a returned form. If your group has entities in Germany and no BZSt-Nummer today, registration is the first thing on the plan and everything else waits behind it.</w:t>
            </w:r>
          </w:p>
          <w:p>
            <w:pPr>
              <w:spacing w:after="0" w:before="0" w:line="276"/>
            </w:pPr>
            <w:r>
              <w:rPr>
                <w:rFonts w:ascii="Calibri" w:cs="Calibri" w:eastAsia="Calibri" w:hAnsi="Calibri"/>
                <w:color w:val="1F2937"/>
                <w:sz w:val="20"/>
                <w:szCs w:val="20"/>
              </w:rPr>
              <w:t xml:space="preserve">Germany is, as far as I have found, the only tax authority in any Pillar Two jurisdiction that publishes a lead time for its own access process. Treat that as a favour, not a warning: everywhere else you are guessing.</w:t>
            </w:r>
          </w:p>
        </w:tc>
      </w:tr>
    </w:tbl>
    <w:p>
      <w:pPr>
        <w:pBdr>
          <w:bottom w:val="single" w:color="D9E0EC" w:sz="6" w:space="6"/>
        </w:pBdr>
        <w:spacing w:after="120" w:before="300"/>
      </w:pPr>
      <w:r>
        <w:rPr>
          <w:rFonts w:ascii="Calibri" w:cs="Calibri" w:eastAsia="Calibri" w:hAnsi="Calibri"/>
          <w:b/>
          <w:bCs/>
          <w:color w:val="2563EB"/>
          <w:sz w:val="26"/>
          <w:szCs w:val="26"/>
        </w:rPr>
        <w:t xml:space="preserve">3  </w:t>
      </w:r>
      <w:r>
        <w:rPr>
          <w:rFonts w:ascii="Calibri" w:cs="Calibri" w:eastAsia="Calibri" w:hAnsi="Calibri"/>
          <w:b/>
          <w:bCs/>
          <w:color w:val="10203F"/>
          <w:sz w:val="26"/>
          <w:szCs w:val="26"/>
        </w:rPr>
        <w:t xml:space="preserve">Five things that catch groups out</w:t>
      </w:r>
    </w:p>
    <w:p>
      <w:pPr>
        <w:spacing w:after="70" w:before="190"/>
      </w:pPr>
      <w:r>
        <w:rPr>
          <w:rFonts w:ascii="Calibri" w:cs="Calibri" w:eastAsia="Calibri" w:hAnsi="Calibri"/>
          <w:b/>
          <w:bCs/>
          <w:color w:val="10203F"/>
          <w:sz w:val="21"/>
          <w:szCs w:val="21"/>
        </w:rPr>
        <w:t xml:space="preserve">One. Two authorities, not one.</w:t>
      </w:r>
    </w:p>
    <w:p>
      <w:pPr>
        <w:spacing w:after="130" w:before="0" w:line="276"/>
      </w:pPr>
      <w:r>
        <w:rPr>
          <w:rFonts w:ascii="Calibri" w:cs="Calibri" w:eastAsia="Calibri" w:hAnsi="Calibri"/>
          <w:color w:val="1F2937"/>
          <w:sz w:val="20"/>
          <w:szCs w:val="20"/>
        </w:rPr>
        <w:t xml:space="preserve">The Bericht goes to the BZSt. The Erklärung goes to your state tax office through ELSTER. Different systems, different credentials, different teams inside most groups. Plan for both.</w:t>
      </w:r>
    </w:p>
    <w:p>
      <w:pPr>
        <w:spacing w:after="70" w:before="190"/>
      </w:pPr>
      <w:r>
        <w:rPr>
          <w:rFonts w:ascii="Calibri" w:cs="Calibri" w:eastAsia="Calibri" w:hAnsi="Calibri"/>
          <w:b/>
          <w:bCs/>
          <w:color w:val="10203F"/>
          <w:sz w:val="21"/>
          <w:szCs w:val="21"/>
        </w:rPr>
        <w:t xml:space="preserve">Two. The test environment is not a filing route.</w:t>
      </w:r>
    </w:p>
    <w:p>
      <w:pPr>
        <w:spacing w:after="130" w:before="0" w:line="276"/>
      </w:pPr>
      <w:r>
        <w:rPr>
          <w:rFonts w:ascii="Calibri" w:cs="Calibri" w:eastAsia="Calibri" w:hAnsi="Calibri"/>
          <w:color w:val="1F2937"/>
          <w:sz w:val="20"/>
          <w:szCs w:val="20"/>
        </w:rPr>
        <w:t xml:space="preserve">The BZSt operates a customer test environment. It is useful and you should use it. It does not constitute submission, and a successful test does not mean a successful filing.</w:t>
      </w:r>
    </w:p>
    <w:p>
      <w:pPr>
        <w:spacing w:after="70" w:before="190"/>
      </w:pPr>
      <w:r>
        <w:rPr>
          <w:rFonts w:ascii="Calibri" w:cs="Calibri" w:eastAsia="Calibri" w:hAnsi="Calibri"/>
          <w:b/>
          <w:bCs/>
          <w:color w:val="10203F"/>
          <w:sz w:val="21"/>
          <w:szCs w:val="21"/>
        </w:rPr>
        <w:t xml:space="preserve">Three. "Accepted" is not the same as accepted.</w:t>
      </w:r>
    </w:p>
    <w:p>
      <w:pPr>
        <w:spacing w:after="130" w:before="0" w:line="276"/>
      </w:pPr>
      <w:r>
        <w:rPr>
          <w:rFonts w:ascii="Calibri" w:cs="Calibri" w:eastAsia="Calibri" w:hAnsi="Calibri"/>
          <w:color w:val="1F2937"/>
          <w:sz w:val="20"/>
          <w:szCs w:val="20"/>
        </w:rPr>
        <w:t xml:space="preserve">A submission is only through when it returns Accepted status with no RecordError entries. Business rules have been repeatedly deactivated and reactivated through 2026, so a file that validated in March may not validate in September. Re-test before each cycle rather than assuming.</w:t>
      </w:r>
    </w:p>
    <w:p>
      <w:pPr>
        <w:spacing w:after="70" w:before="190"/>
      </w:pPr>
      <w:r>
        <w:rPr>
          <w:rFonts w:ascii="Calibri" w:cs="Calibri" w:eastAsia="Calibri" w:hAnsi="Calibri"/>
          <w:b/>
          <w:bCs/>
          <w:color w:val="10203F"/>
          <w:sz w:val="21"/>
          <w:szCs w:val="21"/>
        </w:rPr>
        <w:t xml:space="preserve">Four. The schema is moving under you.</w:t>
      </w:r>
    </w:p>
    <w:p>
      <w:pPr>
        <w:spacing w:after="130" w:before="0" w:line="276"/>
      </w:pPr>
      <w:r>
        <w:rPr>
          <w:rFonts w:ascii="Calibri" w:cs="Calibri" w:eastAsia="Calibri" w:hAnsi="Calibri"/>
          <w:color w:val="1F2937"/>
          <w:sz w:val="20"/>
          <w:szCs w:val="20"/>
        </w:rPr>
        <w:t xml:space="preserve">The OECD released an updated GIR template on 11 September 2026 for fiscal years beginning on or after 31 December 2025, and the XML schema is being revised. If you have built a mapping, budget for reworking it rather than for maintaining it.</w:t>
      </w:r>
    </w:p>
    <w:p>
      <w:pPr>
        <w:spacing w:after="70" w:before="190"/>
      </w:pPr>
      <w:r>
        <w:rPr>
          <w:rFonts w:ascii="Calibri" w:cs="Calibri" w:eastAsia="Calibri" w:hAnsi="Calibri"/>
          <w:b/>
          <w:bCs/>
          <w:color w:val="10203F"/>
          <w:sz w:val="21"/>
          <w:szCs w:val="21"/>
        </w:rPr>
        <w:t xml:space="preserve">Five. The 18-month first year is not a gift.</w:t>
      </w:r>
    </w:p>
    <w:p>
      <w:pPr>
        <w:spacing w:after="0" w:before="0" w:line="276"/>
      </w:pPr>
      <w:r>
        <w:rPr>
          <w:rFonts w:ascii="Calibri" w:cs="Calibri" w:eastAsia="Calibri" w:hAnsi="Calibri"/>
          <w:color w:val="1F2937"/>
          <w:sz w:val="20"/>
          <w:szCs w:val="20"/>
        </w:rPr>
        <w:t xml:space="preserve">The longer first-year window applies to the Bericht. It does not extend the two-month Gruppenträgermeldung, and it does not extend the registration queue. The thing you get more time for is the thing that was never the constraint.</w:t>
      </w:r>
    </w:p>
    <w:p>
      <w:pPr>
        <w:pBdr>
          <w:bottom w:val="single" w:color="D9E0EC" w:sz="6" w:space="6"/>
        </w:pBdr>
        <w:spacing w:after="120" w:before="300"/>
      </w:pPr>
      <w:r>
        <w:rPr>
          <w:rFonts w:ascii="Calibri" w:cs="Calibri" w:eastAsia="Calibri" w:hAnsi="Calibri"/>
          <w:b/>
          <w:bCs/>
          <w:color w:val="2563EB"/>
          <w:sz w:val="26"/>
          <w:szCs w:val="26"/>
        </w:rPr>
        <w:t xml:space="preserve">4  </w:t>
      </w:r>
      <w:r>
        <w:rPr>
          <w:rFonts w:ascii="Calibri" w:cs="Calibri" w:eastAsia="Calibri" w:hAnsi="Calibri"/>
          <w:b/>
          <w:bCs/>
          <w:color w:val="10203F"/>
          <w:sz w:val="26"/>
          <w:szCs w:val="26"/>
        </w:rPr>
        <w:t xml:space="preserve">Penalties, and the relief that is about to lapse</w:t>
      </w:r>
    </w:p>
    <w:p>
      <w:pPr>
        <w:spacing w:after="140" w:before="0" w:line="276"/>
      </w:pPr>
      <w:r>
        <w:rPr>
          <w:rFonts w:ascii="Calibri" w:cs="Calibri" w:eastAsia="Calibri" w:hAnsi="Calibri"/>
          <w:color w:val="1F2937"/>
          <w:sz w:val="20"/>
          <w:szCs w:val="20"/>
        </w:rPr>
        <w:t xml:space="preserve">Failure to transmit the Mindeststeuer-Bericht intentionally or recklessly carries up to €30,000 under § 98 MinStG. There is transitional relief, and it is narrower than it sounds: § 98(1) does not apply to fiscal years beginning on or before 31 December 2026 and ending before 1 July 2028, subject to conditions.</w:t>
      </w:r>
    </w:p>
    <w:p>
      <w:pPr>
        <w:spacing w:after="0" w:before="0" w:line="276"/>
      </w:pPr>
      <w:r>
        <w:rPr>
          <w:rFonts w:ascii="Calibri" w:cs="Calibri" w:eastAsia="Calibri" w:hAnsi="Calibri"/>
          <w:b/>
          <w:bCs/>
          <w:color w:val="1F2937"/>
          <w:sz w:val="20"/>
          <w:szCs w:val="20"/>
        </w:rPr>
        <w:t xml:space="preserve">Read that as a date, not a concession. </w:t>
      </w:r>
      <w:r>
        <w:rPr>
          <w:rFonts w:ascii="Calibri" w:cs="Calibri" w:eastAsia="Calibri" w:hAnsi="Calibri"/>
          <w:color w:val="1F2937"/>
          <w:sz w:val="20"/>
          <w:szCs w:val="20"/>
        </w:rPr>
        <w:t xml:space="preserve">For a calendar-year group, the last fiscal year that can fall inside the relief begins on 1 January 2026. From the 2027 year onward the penalty applies in full, and the first filings of that unprotected year are being prepared now.</w:t>
      </w:r>
    </w:p>
    <w:p>
      <w:pPr>
        <w:pBdr>
          <w:bottom w:val="single" w:color="D9E0EC" w:sz="6" w:space="6"/>
        </w:pBdr>
        <w:spacing w:after="120" w:before="300"/>
      </w:pPr>
      <w:r>
        <w:rPr>
          <w:rFonts w:ascii="Calibri" w:cs="Calibri" w:eastAsia="Calibri" w:hAnsi="Calibri"/>
          <w:b/>
          <w:bCs/>
          <w:color w:val="2563EB"/>
          <w:sz w:val="26"/>
          <w:szCs w:val="26"/>
        </w:rPr>
        <w:t xml:space="preserve">5  </w:t>
      </w:r>
      <w:r>
        <w:rPr>
          <w:rFonts w:ascii="Calibri" w:cs="Calibri" w:eastAsia="Calibri" w:hAnsi="Calibri"/>
          <w:b/>
          <w:bCs/>
          <w:color w:val="10203F"/>
          <w:sz w:val="26"/>
          <w:szCs w:val="26"/>
        </w:rPr>
        <w:t xml:space="preserve">The other German obligation you may have missed</w:t>
      </w:r>
    </w:p>
    <w:p>
      <w:pPr>
        <w:spacing w:after="140" w:before="0" w:line="276"/>
      </w:pPr>
      <w:r>
        <w:rPr>
          <w:rFonts w:ascii="Calibri" w:cs="Calibri" w:eastAsia="Calibri" w:hAnsi="Calibri"/>
          <w:color w:val="1F2937"/>
          <w:sz w:val="20"/>
          <w:szCs w:val="20"/>
        </w:rPr>
        <w:t xml:space="preserve">Germany has a second live reporting regime, and it is easier to comply with than almost any other in Europe — which is precisely why it gets overlooked.</w:t>
      </w:r>
    </w:p>
    <w:tbl>
      <w:tblPr>
        <w:tblW w:type="dxa" w:w="9026"/>
        <w:tblBorders>
          <w:top w:val="single" w:color="D9E0EC" w:sz="2"/>
          <w:left w:val="none" w:color="FFFFFF" w:sz="0"/>
          <w:bottom w:val="single" w:color="D9E0EC" w:sz="2"/>
          <w:right w:val="none" w:color="FFFFFF" w:sz="0"/>
          <w:insideH w:val="single" w:color="D9E0EC" w:sz="2"/>
          <w:insideV w:val="single" w:color="D9E0EC" w:sz="2"/>
        </w:tblBorders>
        <w:tblLayout w:type="fixed"/>
      </w:tblPr>
      <w:tblGrid>
        <w:gridCol w:w="1850"/>
        <w:gridCol w:w="3100"/>
        <w:gridCol w:w="2000"/>
        <w:gridCol w:w="2076"/>
      </w:tblGrid>
      <w:tr>
        <w:trPr>
          <w:cantSplit/>
          <w:tblHeader/>
        </w:trPr>
        <w:tc>
          <w:tcPr>
            <w:tcW w:type="dxa" w:w="1850"/>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Obligation</w:t>
            </w:r>
          </w:p>
        </w:tc>
        <w:tc>
          <w:tcPr>
            <w:tcW w:type="dxa" w:w="3100"/>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Who</w:t>
            </w:r>
          </w:p>
        </w:tc>
        <w:tc>
          <w:tcPr>
            <w:tcW w:type="dxa" w:w="2000"/>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From when</w:t>
            </w:r>
          </w:p>
        </w:tc>
        <w:tc>
          <w:tcPr>
            <w:tcW w:type="dxa" w:w="2076"/>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Format</w:t>
            </w:r>
          </w:p>
        </w:tc>
      </w:tr>
      <w:tr>
        <w:trPr>
          <w:cantSplit/>
        </w:trPr>
        <w:tc>
          <w:tcPr>
            <w:tcW w:type="dxa" w:w="1850"/>
            <w:shd w:fill="FFFFFF" w:color="auto" w:val="clear"/>
            <w:tcMar>
              <w:top w:type="dxa" w:w="90"/>
              <w:left w:type="dxa" w:w="130"/>
              <w:bottom w:type="dxa" w:w="90"/>
              <w:right w:type="dxa" w:w="130"/>
            </w:tcMar>
          </w:tcPr>
          <w:p>
            <w:pPr>
              <w:spacing w:after="0" w:line="254"/>
            </w:pPr>
            <w:r>
              <w:rPr>
                <w:rFonts w:ascii="Calibri" w:cs="Calibri" w:eastAsia="Calibri" w:hAnsi="Calibri"/>
                <w:b/>
                <w:bCs/>
                <w:color w:val="1F2937"/>
                <w:sz w:val="17"/>
                <w:szCs w:val="17"/>
              </w:rPr>
              <w:t xml:space="preserve">Receiving e-invoices</w:t>
            </w:r>
          </w:p>
        </w:tc>
        <w:tc>
          <w:tcPr>
            <w:tcW w:type="dxa" w:w="3100"/>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Every domestic business. An email inbox is sufficient.</w:t>
            </w:r>
          </w:p>
        </w:tc>
        <w:tc>
          <w:tcPr>
            <w:tcW w:type="dxa" w:w="2000"/>
            <w:shd w:fill="FFFFFF" w:color="auto" w:val="clear"/>
            <w:tcMar>
              <w:top w:type="dxa" w:w="90"/>
              <w:left w:type="dxa" w:w="130"/>
              <w:bottom w:type="dxa" w:w="90"/>
              <w:right w:type="dxa" w:w="130"/>
            </w:tcMar>
          </w:tcPr>
          <w:p>
            <w:pPr>
              <w:spacing w:after="0" w:line="254"/>
            </w:pPr>
            <w:r>
              <w:rPr>
                <w:rFonts w:ascii="Calibri" w:cs="Calibri" w:eastAsia="Calibri" w:hAnsi="Calibri"/>
                <w:b/>
                <w:bCs/>
                <w:color w:val="1F2937"/>
                <w:sz w:val="17"/>
                <w:szCs w:val="17"/>
              </w:rPr>
              <w:t xml:space="preserve">Already live — 1 January 2025</w:t>
            </w:r>
          </w:p>
        </w:tc>
        <w:tc>
          <w:tcPr>
            <w:tcW w:type="dxa" w:w="2076"/>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No prescribed channel at all</w:t>
            </w:r>
          </w:p>
        </w:tc>
      </w:tr>
      <w:tr>
        <w:trPr>
          <w:cantSplit/>
        </w:trPr>
        <w:tc>
          <w:tcPr>
            <w:tcW w:type="dxa" w:w="1850"/>
            <w:shd w:fill="F7F9FC" w:color="auto" w:val="clear"/>
            <w:tcMar>
              <w:top w:type="dxa" w:w="90"/>
              <w:left w:type="dxa" w:w="130"/>
              <w:bottom w:type="dxa" w:w="90"/>
              <w:right w:type="dxa" w:w="130"/>
            </w:tcMar>
          </w:tcPr>
          <w:p>
            <w:pPr>
              <w:spacing w:after="0" w:line="254"/>
            </w:pPr>
            <w:r>
              <w:rPr>
                <w:rFonts w:ascii="Calibri" w:cs="Calibri" w:eastAsia="Calibri" w:hAnsi="Calibri"/>
                <w:b/>
                <w:bCs/>
                <w:color w:val="1F2937"/>
                <w:sz w:val="17"/>
                <w:szCs w:val="17"/>
              </w:rPr>
              <w:t xml:space="preserve">Issuing e-invoices</w:t>
            </w:r>
          </w:p>
        </w:tc>
        <w:tc>
          <w:tcPr>
            <w:tcW w:type="dxa" w:w="3100"/>
            <w:shd w:fill="F7F9FC"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Prior-year turnover above €800,000 first; everyone else a year later. Invoices under €250 and B2C are out of scope.</w:t>
            </w:r>
          </w:p>
        </w:tc>
        <w:tc>
          <w:tcPr>
            <w:tcW w:type="dxa" w:w="2000"/>
            <w:shd w:fill="F7F9FC"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1 January 2027, then 1 January 2028</w:t>
            </w:r>
          </w:p>
        </w:tc>
        <w:tc>
          <w:tcPr>
            <w:tcW w:type="dxa" w:w="2076"/>
            <w:shd w:fill="F7F9FC"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XRechnung, or ZUGFeRD 2.0.1+ excluding the MINIMUM and BASIC-WL profiles</w:t>
            </w:r>
          </w:p>
        </w:tc>
      </w:tr>
    </w:tbl>
    <w:p>
      <w:pPr>
        <w:spacing w:after="120"/>
      </w:pPr>
    </w:p>
    <w:p>
      <w:pPr>
        <w:spacing w:after="140" w:before="0" w:line="276"/>
      </w:pPr>
      <w:r>
        <w:rPr>
          <w:rFonts w:ascii="Calibri" w:cs="Calibri" w:eastAsia="Calibri" w:hAnsi="Calibri"/>
          <w:color w:val="1F2937"/>
          <w:sz w:val="20"/>
          <w:szCs w:val="20"/>
        </w:rPr>
        <w:t xml:space="preserve">Germany deliberately built no central platform and accredits nobody. The Ministry of Finance states the law prescribes no particular channel — email, an electronic interface, shared storage or a portal all qualify. Compare that with France, where you cannot send a single B2B invoice without first contracting a state-accredited platform. If you are sequencing a European rollout, Germany is the cheap one to clear.</w:t>
      </w:r>
    </w:p>
    <w:tbl>
      <w:tblPr>
        <w:tblW w:type="dxa" w:w="9026"/>
        <w:tblBorders>
          <w:top w:val="single" w:color="E8B384" w:sz="2"/>
          <w:left w:val="single" w:color="E8B384" w:sz="18"/>
          <w:bottom w:val="single" w:color="E8B384" w:sz="2"/>
          <w:right w:val="single" w:color="E8B384" w:sz="2"/>
          <w:insideH w:val="none" w:color="FFFFFF" w:sz="0"/>
          <w:insideV w:val="none" w:color="FFFFFF" w:sz="0"/>
        </w:tblBorders>
        <w:tblLayout w:type="fixed"/>
      </w:tblPr>
      <w:tblGrid>
        <w:gridCol w:w="9026"/>
      </w:tblGrid>
      <w:tr>
        <w:tc>
          <w:tcPr>
            <w:tcW w:type="dxa" w:w="9026"/>
            <w:shd w:fill="FDF3E7" w:color="auto" w:val="clear"/>
            <w:tcMar>
              <w:top w:type="dxa" w:w="140"/>
              <w:left w:type="dxa" w:w="200"/>
              <w:bottom w:type="dxa" w:w="140"/>
              <w:right w:type="dxa" w:w="180"/>
            </w:tcMar>
          </w:tcPr>
          <w:p>
            <w:pPr>
              <w:spacing w:after="100"/>
            </w:pPr>
            <w:r>
              <w:rPr>
                <w:rFonts w:ascii="Calibri" w:cs="Calibri" w:eastAsia="Calibri" w:hAnsi="Calibri"/>
                <w:b/>
                <w:bCs/>
                <w:color w:val="5A6B87"/>
                <w:spacing w:val="30"/>
                <w:sz w:val="15"/>
                <w:szCs w:val="15"/>
              </w:rPr>
              <w:t xml:space="preserve">TWO TRAPS SPECIFIC TO GERMAN E-INVOICING</w:t>
            </w:r>
          </w:p>
          <w:p>
            <w:pPr>
              <w:spacing w:after="90" w:before="0" w:line="276"/>
            </w:pPr>
            <w:r>
              <w:rPr>
                <w:rFonts w:ascii="Calibri" w:cs="Calibri" w:eastAsia="Calibri" w:hAnsi="Calibri"/>
                <w:color w:val="1F2937"/>
                <w:sz w:val="20"/>
                <w:szCs w:val="20"/>
              </w:rPr>
              <w:t xml:space="preserve">In a hybrid invoice the structured XML is the leading version, not the PDF. If the two disagree, the XML is what counts — which matters the moment anyone edits the PDF.</w:t>
            </w:r>
          </w:p>
          <w:p>
            <w:pPr>
              <w:spacing w:after="0" w:before="0" w:line="276"/>
            </w:pPr>
            <w:r>
              <w:rPr>
                <w:rFonts w:ascii="Calibri" w:cs="Calibri" w:eastAsia="Calibri" w:hAnsi="Calibri"/>
                <w:color w:val="1F2937"/>
                <w:sz w:val="20"/>
                <w:szCs w:val="20"/>
              </w:rPr>
              <w:t xml:space="preserve">Penalties reach €5,000 under § 26a(2) UStG, and €1,000 for retention breaches. But the real exposure is input-VAT recovery on non-compliant invoices, which is a far larger number than any fine. The operative guidance is the second BMF-Schreiben of 15 October 2025.</w:t>
            </w:r>
          </w:p>
        </w:tc>
      </w:tr>
    </w:tbl>
    <w:p>
      <w:pPr>
        <w:pBdr>
          <w:bottom w:val="single" w:color="D9E0EC" w:sz="6" w:space="6"/>
        </w:pBdr>
        <w:spacing w:after="120" w:before="300"/>
      </w:pPr>
      <w:r>
        <w:rPr>
          <w:rFonts w:ascii="Calibri" w:cs="Calibri" w:eastAsia="Calibri" w:hAnsi="Calibri"/>
          <w:b/>
          <w:bCs/>
          <w:color w:val="2563EB"/>
          <w:sz w:val="26"/>
          <w:szCs w:val="26"/>
        </w:rPr>
        <w:t xml:space="preserve">6  </w:t>
      </w:r>
      <w:r>
        <w:rPr>
          <w:rFonts w:ascii="Calibri" w:cs="Calibri" w:eastAsia="Calibri" w:hAnsi="Calibri"/>
          <w:b/>
          <w:bCs/>
          <w:color w:val="10203F"/>
          <w:sz w:val="26"/>
          <w:szCs w:val="26"/>
        </w:rPr>
        <w:t xml:space="preserve">A ninety-day checklist</w:t>
      </w:r>
    </w:p>
    <w:p>
      <w:pPr>
        <w:spacing w:after="130" w:before="0" w:line="276"/>
      </w:pPr>
      <w:r>
        <w:rPr>
          <w:rFonts w:ascii="Calibri" w:cs="Calibri" w:eastAsia="Calibri" w:hAnsi="Calibri"/>
          <w:color w:val="1F2937"/>
          <w:sz w:val="20"/>
          <w:szCs w:val="20"/>
        </w:rPr>
        <w:t xml:space="preserve">In order. Each item blocks the one below it.</w:t>
      </w:r>
    </w:p>
    <w:p>
      <w:pPr>
        <w:pStyle w:val="ListParagraph"/>
        <w:numPr>
          <w:ilvl w:val="0"/>
          <w:numId w:val="2"/>
        </w:numPr>
        <w:spacing w:after="70" w:line="268"/>
      </w:pPr>
      <w:r>
        <w:rPr>
          <w:rFonts w:ascii="Calibri" w:cs="Calibri" w:eastAsia="Calibri" w:hAnsi="Calibri"/>
          <w:color w:val="1F2937"/>
          <w:sz w:val="20"/>
          <w:szCs w:val="20"/>
        </w:rPr>
        <w:t xml:space="preserve">Confirm whether your group already holds a BZSt-Nummer. If not, start registration this week — nothing else can proceed.</w:t>
      </w:r>
    </w:p>
    <w:p>
      <w:pPr>
        <w:pStyle w:val="ListParagraph"/>
        <w:numPr>
          <w:ilvl w:val="0"/>
          <w:numId w:val="2"/>
        </w:numPr>
        <w:spacing w:after="70" w:line="268"/>
      </w:pPr>
      <w:r>
        <w:rPr>
          <w:rFonts w:ascii="Calibri" w:cs="Calibri" w:eastAsia="Calibri" w:hAnsi="Calibri"/>
          <w:color w:val="1F2937"/>
          <w:sz w:val="20"/>
          <w:szCs w:val="20"/>
        </w:rPr>
        <w:t xml:space="preserve">Identify and formally decide the Gruppenträger. The notification cannot be filed until this is settled internally.</w:t>
      </w:r>
    </w:p>
    <w:p>
      <w:pPr>
        <w:pStyle w:val="ListParagraph"/>
        <w:numPr>
          <w:ilvl w:val="0"/>
          <w:numId w:val="2"/>
        </w:numPr>
        <w:spacing w:after="70" w:line="268"/>
      </w:pPr>
      <w:r>
        <w:rPr>
          <w:rFonts w:ascii="Calibri" w:cs="Calibri" w:eastAsia="Calibri" w:hAnsi="Calibri"/>
          <w:color w:val="1F2937"/>
          <w:sz w:val="20"/>
          <w:szCs w:val="20"/>
        </w:rPr>
        <w:t xml:space="preserve">Diarise the Gruppenträgermeldung at two months after year end, not at the GIR date.</w:t>
      </w:r>
    </w:p>
    <w:p>
      <w:pPr>
        <w:pStyle w:val="ListParagraph"/>
        <w:numPr>
          <w:ilvl w:val="0"/>
          <w:numId w:val="2"/>
        </w:numPr>
        <w:spacing w:after="70" w:line="268"/>
      </w:pPr>
      <w:r>
        <w:rPr>
          <w:rFonts w:ascii="Calibri" w:cs="Calibri" w:eastAsia="Calibri" w:hAnsi="Calibri"/>
          <w:color w:val="1F2937"/>
          <w:sz w:val="20"/>
          <w:szCs w:val="20"/>
        </w:rPr>
        <w:t xml:space="preserve">Establish who owns ELSTER access for the Mindeststeuererklärung. It is usually a different team from the one handling the BZSt.</w:t>
      </w:r>
    </w:p>
    <w:p>
      <w:pPr>
        <w:pStyle w:val="ListParagraph"/>
        <w:numPr>
          <w:ilvl w:val="0"/>
          <w:numId w:val="2"/>
        </w:numPr>
        <w:spacing w:after="70" w:line="268"/>
      </w:pPr>
      <w:r>
        <w:rPr>
          <w:rFonts w:ascii="Calibri" w:cs="Calibri" w:eastAsia="Calibri" w:hAnsi="Calibri"/>
          <w:color w:val="1F2937"/>
          <w:sz w:val="20"/>
          <w:szCs w:val="20"/>
        </w:rPr>
        <w:t xml:space="preserve">Re-validate any existing XML mapping against the current business rules, and plan for the revised schema following the 11 September 2026 OECD template.</w:t>
      </w:r>
    </w:p>
    <w:p>
      <w:pPr>
        <w:pStyle w:val="ListParagraph"/>
        <w:numPr>
          <w:ilvl w:val="0"/>
          <w:numId w:val="2"/>
        </w:numPr>
        <w:spacing w:after="70" w:line="268"/>
      </w:pPr>
      <w:r>
        <w:rPr>
          <w:rFonts w:ascii="Calibri" w:cs="Calibri" w:eastAsia="Calibri" w:hAnsi="Calibri"/>
          <w:color w:val="1F2937"/>
          <w:sz w:val="20"/>
          <w:szCs w:val="20"/>
        </w:rPr>
        <w:t xml:space="preserve">Check whether you can receive a structured electronic invoice today. If not, you have been non-compliant since January 2025.</w:t>
      </w:r>
    </w:p>
    <w:p>
      <w:pPr>
        <w:pStyle w:val="ListParagraph"/>
        <w:numPr>
          <w:ilvl w:val="0"/>
          <w:numId w:val="2"/>
        </w:numPr>
        <w:spacing w:after="70" w:line="268"/>
      </w:pPr>
      <w:r>
        <w:rPr>
          <w:rFonts w:ascii="Calibri" w:cs="Calibri" w:eastAsia="Calibri" w:hAnsi="Calibri"/>
          <w:color w:val="1F2937"/>
          <w:sz w:val="20"/>
          <w:szCs w:val="20"/>
        </w:rPr>
        <w:t xml:space="preserve">Establish your prior-year turnover against the €800,000 threshold, which decides whether your issuing obligation starts in 2027 or 2028.</w:t>
      </w:r>
    </w:p>
    <w:p>
      <w:pPr>
        <w:pStyle w:val="ListParagraph"/>
        <w:numPr>
          <w:ilvl w:val="0"/>
          <w:numId w:val="2"/>
        </w:numPr>
        <w:spacing w:after="70" w:line="268"/>
      </w:pPr>
      <w:r>
        <w:rPr>
          <w:rFonts w:ascii="Calibri" w:cs="Calibri" w:eastAsia="Calibri" w:hAnsi="Calibri"/>
          <w:color w:val="1F2937"/>
          <w:sz w:val="20"/>
          <w:szCs w:val="20"/>
        </w:rPr>
        <w:t xml:space="preserve">Map which fiscal years fall inside the § 98 transitional relief, and which do not.</w:t>
      </w:r>
    </w:p>
    <w:p>
      <w:pPr>
        <w:pBdr>
          <w:bottom w:val="single" w:color="D9E0EC" w:sz="6" w:space="6"/>
        </w:pBdr>
        <w:spacing w:after="120" w:before="300"/>
      </w:pPr>
      <w:r>
        <w:rPr>
          <w:rFonts w:ascii="Calibri" w:cs="Calibri" w:eastAsia="Calibri" w:hAnsi="Calibri"/>
          <w:b/>
          <w:bCs/>
          <w:color w:val="2563EB"/>
          <w:sz w:val="26"/>
          <w:szCs w:val="26"/>
        </w:rPr>
        <w:t xml:space="preserve">7  </w:t>
      </w:r>
      <w:r>
        <w:rPr>
          <w:rFonts w:ascii="Calibri" w:cs="Calibri" w:eastAsia="Calibri" w:hAnsi="Calibri"/>
          <w:b/>
          <w:bCs/>
          <w:color w:val="10203F"/>
          <w:sz w:val="26"/>
          <w:szCs w:val="26"/>
        </w:rPr>
        <w:t xml:space="preserve">Where every statement above comes from</w:t>
      </w:r>
    </w:p>
    <w:p>
      <w:pPr>
        <w:spacing w:after="140" w:before="0" w:line="276"/>
      </w:pPr>
      <w:r>
        <w:rPr>
          <w:rFonts w:ascii="Calibri" w:cs="Calibri" w:eastAsia="Calibri" w:hAnsi="Calibri"/>
          <w:color w:val="1F2937"/>
          <w:sz w:val="20"/>
          <w:szCs w:val="20"/>
        </w:rPr>
        <w:t xml:space="preserve">Nothing in this sheet is drawn from an advisory summary or an aggregator. Each item was checked against the authority's own published page, and where a fact could not be confirmed from a primary source it has been left out rather than filled in — the commencement date for the German UTPR is one such gap, because § 101(2) MinStG could not be retrieved.</w:t>
      </w:r>
    </w:p>
    <w:p>
      <w:pPr>
        <w:pStyle w:val="ListParagraph"/>
        <w:numPr>
          <w:ilvl w:val="0"/>
          <w:numId w:val="2"/>
        </w:numPr>
        <w:spacing w:after="70" w:line="268"/>
      </w:pPr>
      <w:r>
        <w:rPr>
          <w:rFonts w:ascii="Calibri" w:cs="Calibri" w:eastAsia="Calibri" w:hAnsi="Calibri"/>
          <w:color w:val="1F2937"/>
          <w:sz w:val="20"/>
          <w:szCs w:val="20"/>
        </w:rPr>
        <w:t xml:space="preserve">Pillar 2 — Verfahren, Bundeszentralamt für Steuern</w:t>
      </w:r>
    </w:p>
    <w:p>
      <w:pPr>
        <w:pStyle w:val="ListParagraph"/>
        <w:numPr>
          <w:ilvl w:val="0"/>
          <w:numId w:val="2"/>
        </w:numPr>
        <w:spacing w:after="70" w:line="268"/>
      </w:pPr>
      <w:r>
        <w:rPr>
          <w:rFonts w:ascii="Calibri" w:cs="Calibri" w:eastAsia="Calibri" w:hAnsi="Calibri"/>
          <w:color w:val="1F2937"/>
          <w:sz w:val="20"/>
          <w:szCs w:val="20"/>
        </w:rPr>
        <w:t xml:space="preserve">Elektronische Datenübermittlung, Bundeszentralamt für Steuern</w:t>
      </w:r>
    </w:p>
    <w:p>
      <w:pPr>
        <w:pStyle w:val="ListParagraph"/>
        <w:numPr>
          <w:ilvl w:val="0"/>
          <w:numId w:val="2"/>
        </w:numPr>
        <w:spacing w:after="70" w:line="268"/>
      </w:pPr>
      <w:r>
        <w:rPr>
          <w:rFonts w:ascii="Calibri" w:cs="Calibri" w:eastAsia="Calibri" w:hAnsi="Calibri"/>
          <w:color w:val="1F2937"/>
          <w:sz w:val="20"/>
          <w:szCs w:val="20"/>
        </w:rPr>
        <w:t xml:space="preserve">Pillar 2 FAQ, Bundeszentralamt für Steuern</w:t>
      </w:r>
    </w:p>
    <w:p>
      <w:pPr>
        <w:pStyle w:val="ListParagraph"/>
        <w:numPr>
          <w:ilvl w:val="0"/>
          <w:numId w:val="2"/>
        </w:numPr>
        <w:spacing w:after="70" w:line="268"/>
      </w:pPr>
      <w:r>
        <w:rPr>
          <w:rFonts w:ascii="Calibri" w:cs="Calibri" w:eastAsia="Calibri" w:hAnsi="Calibri"/>
          <w:color w:val="1F2937"/>
          <w:sz w:val="20"/>
          <w:szCs w:val="20"/>
        </w:rPr>
        <w:t xml:space="preserve">FAQ E-Rechnung, Bundesministerium der Finanzen, and the BMF-Schreiben of 15 October 2025</w:t>
      </w:r>
    </w:p>
    <w:p>
      <w:pPr>
        <w:spacing w:after="120"/>
      </w:pPr>
    </w:p>
    <w:p>
      <w:pPr>
        <w:spacing w:after="160" w:before="0" w:line="276"/>
      </w:pPr>
      <w:r>
        <w:rPr>
          <w:rFonts w:ascii="Calibri" w:cs="Calibri" w:eastAsia="Calibri" w:hAnsi="Calibri"/>
          <w:b/>
          <w:bCs/>
          <w:color w:val="1F2937"/>
          <w:sz w:val="20"/>
          <w:szCs w:val="20"/>
        </w:rPr>
        <w:t xml:space="preserve">Live, dated and linked: </w:t>
      </w:r>
      <w:r>
        <w:rPr>
          <w:rFonts w:ascii="Calibri" w:cs="Calibri" w:eastAsia="Calibri" w:hAnsi="Calibri"/>
          <w:color w:val="1F2937"/>
          <w:sz w:val="20"/>
          <w:szCs w:val="20"/>
        </w:rPr>
        <w:t xml:space="preserve">every row behind this sheet sits in the obligation tracker at saurabhsatija.com/tracker, with a link to the authority page it came from and the date it was last checked. The underlying data is open at saurabhsatija.com/tracker-data.json.</w:t>
      </w:r>
    </w:p>
    <w:p>
      <w:pPr>
        <w:pBdr>
          <w:top w:val="single" w:color="D9E0EC" w:sz="6" w:space="10"/>
        </w:pBdr>
        <w:spacing w:after="0" w:before="120"/>
      </w:pPr>
      <w:r>
        <w:rPr>
          <w:rFonts w:ascii="Calibri" w:cs="Calibri" w:eastAsia="Calibri" w:hAnsi="Calibri"/>
          <w:i/>
          <w:iCs/>
          <w:color w:val="5A6B87"/>
          <w:sz w:val="15"/>
          <w:szCs w:val="15"/>
        </w:rPr>
        <w:t xml:space="preserve">Saurabh Satija — VP Sales, UK &amp; Ireland and Global Head, BEPS &amp; Pillar Two, DataTracks, London. This is a scoping aid, not tax advice, and not my employer's view. Verify against the authority before you file. © 2026 Saurabh Satija.</w:t>
      </w:r>
    </w:p>
    <w:sectPr>
      <w:pgSz w:w="11906" w:h="16838" w:orient="portrait"/>
      <w:pgMar w:top="1296" w:right="1440" w:bottom="1296"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00"/>
      </w:pPr>
    </w:lvl>
    <w:lvl w:ilvl="1" w:tentative="1">
      <w:start w:val="1"/>
      <w:numFmt w:val="bullet"/>
      <w:lvlText w:val="–"/>
      <w:lvlJc w:val="left"/>
      <w:pPr>
        <w:ind w:left="72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Filing Pillar Two in Germany — readiness cheat sheet</dc:title>
  <dc:creator>Saurabh Satija</dc:creator>
  <dc:description>Three filings, two authorities and a six-to-eight-week access queue: what a group with German entities has to do, in order.</dc:description>
  <cp:lastModifiedBy>Un-named</cp:lastModifiedBy>
  <cp:revision>1</cp:revision>
  <dcterms:created xsi:type="dcterms:W3CDTF">2026-10-04T11:03:59.468Z</dcterms:created>
  <dcterms:modified xsi:type="dcterms:W3CDTF">2026-10-04T11:03:59.469Z</dcterms:modified>
</cp:coreProperties>
</file>

<file path=docProps/custom.xml><?xml version="1.0" encoding="utf-8"?>
<Properties xmlns="http://schemas.openxmlformats.org/officeDocument/2006/custom-properties" xmlns:vt="http://schemas.openxmlformats.org/officeDocument/2006/docPropsVTypes"/>
</file>