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5A6B87"/>
          <w:spacing w:val="30"/>
          <w:sz w:val="15"/>
          <w:szCs w:val="15"/>
        </w:rPr>
        <w:t xml:space="preserve">FRANCE · E-INVOICING READINESS CHEAT SHEET · OCTOBER 2026</w:t>
      </w:r>
    </w:p>
    <w:p>
      <w:pPr>
        <w:spacing w:after="60" w:before="0"/>
      </w:pPr>
      <w:r>
        <w:rPr>
          <w:rFonts w:ascii="Calibri" w:cs="Calibri" w:eastAsia="Calibri" w:hAnsi="Calibri"/>
          <w:b/>
          <w:bCs/>
          <w:color w:val="10203F"/>
          <w:sz w:val="40"/>
          <w:szCs w:val="40"/>
        </w:rPr>
        <w:t xml:space="preserve">E-invoicing in France</w:t>
      </w:r>
    </w:p>
    <w:p>
      <w:pPr>
        <w:spacing w:after="160" w:before="0" w:line="276"/>
      </w:pPr>
      <w:r>
        <w:rPr>
          <w:rFonts w:ascii="Calibri" w:cs="Calibri" w:eastAsia="Calibri" w:hAnsi="Calibri"/>
          <w:b/>
          <w:bCs/>
          <w:color w:val="10203F"/>
          <w:sz w:val="23"/>
          <w:szCs w:val="23"/>
        </w:rPr>
        <w:t xml:space="preserve">You cannot transmit a single business invoice without first contracting a state-accredited platform. Live since September 2026.</w:t>
      </w:r>
    </w:p>
    <w:p>
      <w:pPr>
        <w:spacing w:after="200" w:before="0" w:line="276"/>
      </w:pPr>
      <w:r>
        <w:rPr>
          <w:rFonts w:ascii="Calibri" w:cs="Calibri" w:eastAsia="Calibri" w:hAnsi="Calibri"/>
          <w:color w:val="1F2937"/>
          <w:sz w:val="20"/>
          <w:szCs w:val="20"/>
        </w:rPr>
        <w:t xml:space="preserve">France is the only regime in Europe where there is no government channel to fall back on, no manual route and no exception. Every other question — formats, timing, scope — sits behind this one.</w:t>
      </w:r>
    </w:p>
    <w:tbl>
      <w:tblPr>
        <w:tblW w:type="dxa" w:w="9026"/>
        <w:tblBorders>
          <w:top w:val="single" w:color="E8B384" w:sz="2"/>
          <w:left w:val="single" w:color="E8B384" w:sz="18"/>
          <w:bottom w:val="single" w:color="E8B384" w:sz="2"/>
          <w:right w:val="single" w:color="E8B384" w:sz="2"/>
          <w:insideH w:val="none" w:color="FFFFFF" w:sz="0"/>
          <w:insideV w:val="none" w:color="FFFFFF" w:sz="0"/>
        </w:tblBorders>
        <w:tblLayout w:type="fixed"/>
      </w:tblPr>
      <w:tblGrid>
        <w:gridCol w:w="9026"/>
      </w:tblGrid>
      <w:tr>
        <w:tc>
          <w:tcPr>
            <w:tcW w:type="dxa" w:w="9026"/>
            <w:shd w:fill="FDF3E7"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START HERE, IF YOU READ NOTHING ELSE</w:t>
            </w:r>
          </w:p>
          <w:p>
            <w:pPr>
              <w:spacing w:after="90" w:before="0" w:line="276"/>
            </w:pPr>
            <w:r>
              <w:rPr>
                <w:rFonts w:ascii="Calibri" w:cs="Calibri" w:eastAsia="Calibri" w:hAnsi="Calibri"/>
                <w:color w:val="1F2937"/>
                <w:sz w:val="20"/>
                <w:szCs w:val="20"/>
              </w:rPr>
              <w:t xml:space="preserve">Every French VAT-taxable person has had to be able to RECEIVE electronic invoices since 1 September 2026. That is not phased by size — it landed on everyone at once, and it requires a contracted platform.</w:t>
            </w:r>
          </w:p>
          <w:p>
            <w:pPr>
              <w:spacing w:after="0" w:before="0" w:line="276"/>
            </w:pPr>
            <w:r>
              <w:rPr>
                <w:rFonts w:ascii="Calibri" w:cs="Calibri" w:eastAsia="Calibri" w:hAnsi="Calibri"/>
                <w:color w:val="1F2937"/>
                <w:sz w:val="20"/>
                <w:szCs w:val="20"/>
              </w:rPr>
              <w:t xml:space="preserve">The sanctions grace period expires on 31 December 2026. It covers companies in genuine difficulty, and it is the only thing standing between a non-compliant French entity and a per-invoice penalty.</w:t>
            </w:r>
          </w:p>
        </w:tc>
      </w:tr>
    </w:tbl>
    <w:p>
      <w:pPr>
        <w:pBdr>
          <w:bottom w:val="single" w:color="D9E0EC" w:sz="6" w:space="6"/>
        </w:pBdr>
        <w:spacing w:after="120" w:before="300"/>
      </w:pPr>
      <w:r>
        <w:rPr>
          <w:rFonts w:ascii="Calibri" w:cs="Calibri" w:eastAsia="Calibri" w:hAnsi="Calibri"/>
          <w:b/>
          <w:bCs/>
          <w:color w:val="2563EB"/>
          <w:sz w:val="26"/>
          <w:szCs w:val="26"/>
        </w:rPr>
        <w:t xml:space="preserve">1  </w:t>
      </w:r>
      <w:r>
        <w:rPr>
          <w:rFonts w:ascii="Calibri" w:cs="Calibri" w:eastAsia="Calibri" w:hAnsi="Calibri"/>
          <w:b/>
          <w:bCs/>
          <w:color w:val="10203F"/>
          <w:sz w:val="26"/>
          <w:szCs w:val="26"/>
        </w:rPr>
        <w:t xml:space="preserve">The rule that makes France different</w:t>
      </w:r>
    </w:p>
    <w:p>
      <w:pPr>
        <w:spacing w:after="140" w:before="0" w:line="276"/>
      </w:pPr>
      <w:r>
        <w:rPr>
          <w:rFonts w:ascii="Calibri" w:cs="Calibri" w:eastAsia="Calibri" w:hAnsi="Calibri"/>
          <w:color w:val="1F2937"/>
          <w:sz w:val="20"/>
          <w:szCs w:val="20"/>
        </w:rPr>
        <w:t xml:space="preserve">In Germany you can e-invoice from an email inbox. In France you cannot invoice at all until you have signed a contract with a company the tax authority has approved. That single difference is worth more planning time than every format question combined.</w:t>
      </w:r>
    </w:p>
    <w:p>
      <w:pPr>
        <w:spacing w:after="140" w:before="0" w:line="276"/>
      </w:pPr>
      <w:r>
        <w:rPr>
          <w:rFonts w:ascii="Calibri" w:cs="Calibri" w:eastAsia="Calibri" w:hAnsi="Calibri"/>
          <w:color w:val="1F2937"/>
          <w:sz w:val="20"/>
          <w:szCs w:val="20"/>
        </w:rPr>
        <w:t xml:space="preserve">A plateforme agréée is immatriculated by DGFiP against fiscal, IT and security criteria including ISO 27001 or SecNumCloud certification, two-factor authentication and EU data residency. Accreditation runs three years and is renewable.</w:t>
      </w:r>
    </w:p>
    <w:tbl>
      <w:tblPr>
        <w:tblW w:type="dxa" w:w="9026"/>
        <w:tblBorders>
          <w:top w:val="single" w:color="B9CCF0" w:sz="2"/>
          <w:left w:val="single" w:color="B9CCF0" w:sz="18"/>
          <w:bottom w:val="single" w:color="B9CCF0" w:sz="2"/>
          <w:right w:val="single" w:color="B9CCF0" w:sz="2"/>
          <w:insideH w:val="none" w:color="FFFFFF" w:sz="0"/>
          <w:insideV w:val="none" w:color="FFFFFF" w:sz="0"/>
        </w:tblBorders>
        <w:tblLayout w:type="fixed"/>
      </w:tblPr>
      <w:tblGrid>
        <w:gridCol w:w="9026"/>
      </w:tblGrid>
      <w:tr>
        <w:tc>
          <w:tcPr>
            <w:tcW w:type="dxa" w:w="9026"/>
            <w:shd w:fill="EEF3FC"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IF YOU WERE PLANNING TO RUN YOUR OWN</w:t>
            </w:r>
          </w:p>
          <w:p>
            <w:pPr>
              <w:spacing w:after="90" w:before="0" w:line="276"/>
            </w:pPr>
            <w:r>
              <w:rPr>
                <w:rFonts w:ascii="Calibri" w:cs="Calibri" w:eastAsia="Calibri" w:hAnsi="Calibri"/>
                <w:color w:val="1F2937"/>
                <w:sz w:val="20"/>
                <w:szCs w:val="20"/>
              </w:rPr>
              <w:t xml:space="preserve">A group operating its own in-house platform must ITSELF be immatriculated. You do not get to self-serve because you are large or technical — you go through the same accreditation, against the same security criteria, on the same three-year cycle.</w:t>
            </w:r>
          </w:p>
          <w:p>
            <w:pPr>
              <w:spacing w:after="0" w:before="0" w:line="276"/>
            </w:pPr>
            <w:r>
              <w:rPr>
                <w:rFonts w:ascii="Calibri" w:cs="Calibri" w:eastAsia="Calibri" w:hAnsi="Calibri"/>
                <w:color w:val="1F2937"/>
                <w:sz w:val="20"/>
                <w:szCs w:val="20"/>
              </w:rPr>
              <w:t xml:space="preserve">For almost every group the answer is to contract an accredited provider. The question is not whether to use one but how quickly you can get through their onboarding, because DGFiP publishes no lead time and the providers are all onboarding at once.</w:t>
            </w:r>
          </w:p>
        </w:tc>
      </w:tr>
    </w:tbl>
    <w:p>
      <w:pPr>
        <w:pBdr>
          <w:bottom w:val="single" w:color="D9E0EC" w:sz="6" w:space="6"/>
        </w:pBdr>
        <w:spacing w:after="120" w:before="300"/>
      </w:pPr>
      <w:r>
        <w:rPr>
          <w:rFonts w:ascii="Calibri" w:cs="Calibri" w:eastAsia="Calibri" w:hAnsi="Calibri"/>
          <w:b/>
          <w:bCs/>
          <w:color w:val="2563EB"/>
          <w:sz w:val="26"/>
          <w:szCs w:val="26"/>
        </w:rPr>
        <w:t xml:space="preserve">2  </w:t>
      </w:r>
      <w:r>
        <w:rPr>
          <w:rFonts w:ascii="Calibri" w:cs="Calibri" w:eastAsia="Calibri" w:hAnsi="Calibri"/>
          <w:b/>
          <w:bCs/>
          <w:color w:val="10203F"/>
          <w:sz w:val="26"/>
          <w:szCs w:val="26"/>
        </w:rPr>
        <w:t xml:space="preserve">What France actually requires</w:t>
      </w:r>
    </w:p>
    <w:p>
      <w:pPr>
        <w:spacing w:after="150" w:before="0" w:line="276"/>
      </w:pPr>
      <w:r>
        <w:rPr>
          <w:rFonts w:ascii="Calibri" w:cs="Calibri" w:eastAsia="Calibri" w:hAnsi="Calibri"/>
          <w:color w:val="1F2937"/>
          <w:sz w:val="20"/>
          <w:szCs w:val="20"/>
        </w:rPr>
        <w:t xml:space="preserve">Three obligations, two of which arrive together and one of which is widely overlooked.</w:t>
      </w:r>
    </w:p>
    <w:tbl>
      <w:tblPr>
        <w:tblW w:type="dxa" w:w="9026"/>
        <w:tblBorders>
          <w:top w:val="single" w:color="D9E0EC" w:sz="2"/>
          <w:left w:val="none" w:color="FFFFFF" w:sz="0"/>
          <w:bottom w:val="single" w:color="D9E0EC" w:sz="2"/>
          <w:right w:val="none" w:color="FFFFFF" w:sz="0"/>
          <w:insideH w:val="single" w:color="D9E0EC" w:sz="2"/>
          <w:insideV w:val="single" w:color="D9E0EC" w:sz="2"/>
        </w:tblBorders>
        <w:tblLayout w:type="fixed"/>
      </w:tblPr>
      <w:tblGrid>
        <w:gridCol w:w="2000"/>
        <w:gridCol w:w="2800"/>
        <w:gridCol w:w="1900"/>
        <w:gridCol w:w="2326"/>
      </w:tblGrid>
      <w:tr>
        <w:trPr>
          <w:cantSplit/>
          <w:tblHeader/>
        </w:trPr>
        <w:tc>
          <w:tcPr>
            <w:tcW w:type="dxa" w:w="20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Obligation</w:t>
            </w:r>
          </w:p>
        </w:tc>
        <w:tc>
          <w:tcPr>
            <w:tcW w:type="dxa" w:w="28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Who</w:t>
            </w:r>
          </w:p>
        </w:tc>
        <w:tc>
          <w:tcPr>
            <w:tcW w:type="dxa" w:w="19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From</w:t>
            </w:r>
          </w:p>
        </w:tc>
        <w:tc>
          <w:tcPr>
            <w:tcW w:type="dxa" w:w="2326"/>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Format</w:t>
            </w:r>
          </w:p>
        </w:tc>
      </w:tr>
      <w:tr>
        <w:trPr>
          <w:cantSplit/>
        </w:trPr>
        <w:tc>
          <w:tcPr>
            <w:tcW w:type="dxa" w:w="20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Receiving</w:t>
            </w:r>
          </w:p>
        </w:tc>
        <w:tc>
          <w:tcPr>
            <w:tcW w:type="dxa" w:w="28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Every French VAT-taxable person. No size phase-in.</w:t>
            </w:r>
          </w:p>
        </w:tc>
        <w:tc>
          <w:tcPr>
            <w:tcW w:type="dxa" w:w="19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1 September 2026</w:t>
            </w:r>
          </w:p>
        </w:tc>
        <w:tc>
          <w:tcPr>
            <w:tcW w:type="dxa" w:w="232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Through a plateforme agréée, routed via the annuaire</w:t>
            </w:r>
          </w:p>
        </w:tc>
      </w:tr>
      <w:tr>
        <w:trPr>
          <w:cantSplit/>
        </w:trPr>
        <w:tc>
          <w:tcPr>
            <w:tcW w:type="dxa" w:w="2000"/>
            <w:shd w:fill="F7F9FC"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Issuing</w:t>
            </w:r>
          </w:p>
        </w:tc>
        <w:tc>
          <w:tcPr>
            <w:tcW w:type="dxa" w:w="280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Grandes entreprises and ETI first; PME, TPE and micro a year later</w:t>
            </w:r>
          </w:p>
        </w:tc>
        <w:tc>
          <w:tcPr>
            <w:tcW w:type="dxa" w:w="190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1 September 2026, then 1 September 2027</w:t>
            </w:r>
          </w:p>
        </w:tc>
        <w:tc>
          <w:tcPr>
            <w:tcW w:type="dxa" w:w="2326"/>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UBL, CII or Factur-X</w:t>
            </w:r>
          </w:p>
        </w:tc>
      </w:tr>
      <w:tr>
        <w:trPr>
          <w:cantSplit/>
        </w:trPr>
        <w:tc>
          <w:tcPr>
            <w:tcW w:type="dxa" w:w="20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E-reporting</w:t>
            </w:r>
          </w:p>
        </w:tc>
        <w:tc>
          <w:tcPr>
            <w:tcW w:type="dxa" w:w="28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Grandes entreprises and ETI</w:t>
            </w:r>
          </w:p>
        </w:tc>
        <w:tc>
          <w:tcPr>
            <w:tcW w:type="dxa" w:w="19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1 September 2026</w:t>
            </w:r>
          </w:p>
        </w:tc>
        <w:tc>
          <w:tcPr>
            <w:tcW w:type="dxa" w:w="232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Transaction and payment data for flows OUTSIDE domestic B2B</w:t>
            </w:r>
          </w:p>
        </w:tc>
      </w:tr>
    </w:tbl>
    <w:p>
      <w:pPr>
        <w:spacing w:after="120"/>
      </w:pPr>
    </w:p>
    <w:p>
      <w:pPr>
        <w:spacing w:after="0" w:before="0" w:line="276"/>
      </w:pPr>
      <w:r>
        <w:rPr>
          <w:rFonts w:ascii="Calibri" w:cs="Calibri" w:eastAsia="Calibri" w:hAnsi="Calibri"/>
          <w:b/>
          <w:bCs/>
          <w:color w:val="1F2937"/>
          <w:sz w:val="20"/>
          <w:szCs w:val="20"/>
        </w:rPr>
        <w:t xml:space="preserve">E-reporting is the one groups miss. </w:t>
      </w:r>
      <w:r>
        <w:rPr>
          <w:rFonts w:ascii="Calibri" w:cs="Calibri" w:eastAsia="Calibri" w:hAnsi="Calibri"/>
          <w:color w:val="1F2937"/>
          <w:sz w:val="20"/>
          <w:szCs w:val="20"/>
        </w:rPr>
        <w:t xml:space="preserve">It is not invoicing — it is reporting transaction and payment data for everything outside domestic B2B, which for an international group is a large share of its French activity. A project scoped only around invoices will not have covered it.</w:t>
      </w:r>
    </w:p>
    <w:p>
      <w:pPr>
        <w:pBdr>
          <w:bottom w:val="single" w:color="D9E0EC" w:sz="6" w:space="6"/>
        </w:pBdr>
        <w:spacing w:after="120" w:before="300"/>
      </w:pPr>
      <w:r>
        <w:rPr>
          <w:rFonts w:ascii="Calibri" w:cs="Calibri" w:eastAsia="Calibri" w:hAnsi="Calibri"/>
          <w:b/>
          <w:bCs/>
          <w:color w:val="2563EB"/>
          <w:sz w:val="26"/>
          <w:szCs w:val="26"/>
        </w:rPr>
        <w:t xml:space="preserve">3  </w:t>
      </w:r>
      <w:r>
        <w:rPr>
          <w:rFonts w:ascii="Calibri" w:cs="Calibri" w:eastAsia="Calibri" w:hAnsi="Calibri"/>
          <w:b/>
          <w:bCs/>
          <w:color w:val="10203F"/>
          <w:sz w:val="26"/>
          <w:szCs w:val="26"/>
        </w:rPr>
        <w:t xml:space="preserve">Your wave was fixed in January 2025</w:t>
      </w:r>
    </w:p>
    <w:p>
      <w:pPr>
        <w:spacing w:after="140" w:before="0" w:line="276"/>
      </w:pPr>
      <w:r>
        <w:rPr>
          <w:rFonts w:ascii="Calibri" w:cs="Calibri" w:eastAsia="Calibri" w:hAnsi="Calibri"/>
          <w:color w:val="1F2937"/>
          <w:sz w:val="20"/>
          <w:szCs w:val="20"/>
        </w:rPr>
        <w:t xml:space="preserve">Company size for the phase-in was fixed as at 1 January 2025, on the last closed financial year. It is not reassessed.</w:t>
      </w:r>
    </w:p>
    <w:p>
      <w:pPr>
        <w:spacing w:after="0" w:before="0" w:line="276"/>
      </w:pPr>
      <w:r>
        <w:rPr>
          <w:rFonts w:ascii="Calibri" w:cs="Calibri" w:eastAsia="Calibri" w:hAnsi="Calibri"/>
          <w:color w:val="1F2937"/>
          <w:sz w:val="20"/>
          <w:szCs w:val="20"/>
        </w:rPr>
        <w:t xml:space="preserve">A company that has grown past a threshold since then does not move into an earlier wave, and one that has shrunk does not get a later one. If you have been working from current headcount or current turnover, check the figure that actually applies — it is nearly two years old.</w:t>
      </w:r>
    </w:p>
    <w:p>
      <w:pPr>
        <w:pBdr>
          <w:bottom w:val="single" w:color="D9E0EC" w:sz="6" w:space="6"/>
        </w:pBdr>
        <w:spacing w:after="120" w:before="300"/>
      </w:pPr>
      <w:r>
        <w:rPr>
          <w:rFonts w:ascii="Calibri" w:cs="Calibri" w:eastAsia="Calibri" w:hAnsi="Calibri"/>
          <w:b/>
          <w:bCs/>
          <w:color w:val="2563EB"/>
          <w:sz w:val="26"/>
          <w:szCs w:val="26"/>
        </w:rPr>
        <w:t xml:space="preserve">4  </w:t>
      </w:r>
      <w:r>
        <w:rPr>
          <w:rFonts w:ascii="Calibri" w:cs="Calibri" w:eastAsia="Calibri" w:hAnsi="Calibri"/>
          <w:b/>
          <w:bCs/>
          <w:color w:val="10203F"/>
          <w:sz w:val="26"/>
          <w:szCs w:val="26"/>
        </w:rPr>
        <w:t xml:space="preserve">The public portal no longer does what you think</w:t>
      </w:r>
    </w:p>
    <w:p>
      <w:pPr>
        <w:spacing w:after="140" w:before="0" w:line="276"/>
      </w:pPr>
      <w:r>
        <w:rPr>
          <w:rFonts w:ascii="Calibri" w:cs="Calibri" w:eastAsia="Calibri" w:hAnsi="Calibri"/>
          <w:color w:val="1F2937"/>
          <w:sz w:val="20"/>
          <w:szCs w:val="20"/>
        </w:rPr>
        <w:t xml:space="preserve">France originally planned a free government portal that would transmit invoices. That is no longer what it does.</w:t>
      </w:r>
    </w:p>
    <w:p>
      <w:pPr>
        <w:spacing w:after="140" w:before="0" w:line="276"/>
      </w:pPr>
      <w:r>
        <w:rPr>
          <w:rFonts w:ascii="Calibri" w:cs="Calibri" w:eastAsia="Calibri" w:hAnsi="Calibri"/>
          <w:color w:val="1F2937"/>
          <w:sz w:val="20"/>
          <w:szCs w:val="20"/>
        </w:rPr>
        <w:t xml:space="preserve">The Portail Public de Facturation is now the directory — the annuaire that resolves routing between platforms. It does not transmit your B2B invoices. Chorus Pro remains for B2G only.</w:t>
      </w:r>
    </w:p>
    <w:p>
      <w:pPr>
        <w:spacing w:after="0" w:before="0" w:line="276"/>
      </w:pPr>
      <w:r>
        <w:rPr>
          <w:rFonts w:ascii="Calibri" w:cs="Calibri" w:eastAsia="Calibri" w:hAnsi="Calibri"/>
          <w:b/>
          <w:bCs/>
          <w:color w:val="1F2937"/>
          <w:sz w:val="20"/>
          <w:szCs w:val="20"/>
        </w:rPr>
        <w:t xml:space="preserve">Anyone whose French plan still includes "use the free government portal" is working from guidance that has been overtaken. </w:t>
      </w:r>
      <w:r>
        <w:rPr>
          <w:rFonts w:ascii="Calibri" w:cs="Calibri" w:eastAsia="Calibri" w:hAnsi="Calibri"/>
          <w:color w:val="1F2937"/>
          <w:sz w:val="20"/>
          <w:szCs w:val="20"/>
        </w:rPr>
        <w:t xml:space="preserve">That assumption is the most common one in this regime, and it has no fallback once discovered.</w:t>
      </w:r>
    </w:p>
    <w:p>
      <w:pPr>
        <w:pBdr>
          <w:bottom w:val="single" w:color="D9E0EC" w:sz="6" w:space="6"/>
        </w:pBdr>
        <w:spacing w:after="120" w:before="300"/>
      </w:pPr>
      <w:r>
        <w:rPr>
          <w:rFonts w:ascii="Calibri" w:cs="Calibri" w:eastAsia="Calibri" w:hAnsi="Calibri"/>
          <w:b/>
          <w:bCs/>
          <w:color w:val="2563EB"/>
          <w:sz w:val="26"/>
          <w:szCs w:val="26"/>
        </w:rPr>
        <w:t xml:space="preserve">5  </w:t>
      </w:r>
      <w:r>
        <w:rPr>
          <w:rFonts w:ascii="Calibri" w:cs="Calibri" w:eastAsia="Calibri" w:hAnsi="Calibri"/>
          <w:b/>
          <w:bCs/>
          <w:color w:val="10203F"/>
          <w:sz w:val="26"/>
          <w:szCs w:val="26"/>
        </w:rPr>
        <w:t xml:space="preserve">Penalties, and the grace period closing on 31 December</w:t>
      </w:r>
    </w:p>
    <w:p>
      <w:pPr>
        <w:spacing w:after="130" w:before="0" w:line="276"/>
      </w:pPr>
      <w:r>
        <w:rPr>
          <w:rFonts w:ascii="Calibri" w:cs="Calibri" w:eastAsia="Calibri" w:hAnsi="Calibri"/>
          <w:color w:val="1F2937"/>
          <w:sz w:val="20"/>
          <w:szCs w:val="20"/>
        </w:rPr>
        <w:t xml:space="preserve">Two separate penalty regimes, for two separate failures.</w:t>
      </w:r>
    </w:p>
    <w:p>
      <w:pPr>
        <w:pStyle w:val="ListParagraph"/>
        <w:numPr>
          <w:ilvl w:val="0"/>
          <w:numId w:val="2"/>
        </w:numPr>
        <w:spacing w:after="70" w:line="268"/>
      </w:pPr>
      <w:r>
        <w:rPr>
          <w:rFonts w:ascii="Calibri" w:cs="Calibri" w:eastAsia="Calibri" w:hAnsi="Calibri"/>
          <w:color w:val="1F2937"/>
          <w:sz w:val="20"/>
          <w:szCs w:val="20"/>
        </w:rPr>
        <w:t xml:space="preserve">Failure to issue electronically: EUR 50 per invoice, capped at EUR 15,000 per calendar year. The first breach is unsanctioned.</w:t>
      </w:r>
    </w:p>
    <w:p>
      <w:pPr>
        <w:pStyle w:val="ListParagraph"/>
        <w:numPr>
          <w:ilvl w:val="0"/>
          <w:numId w:val="2"/>
        </w:numPr>
        <w:spacing w:after="70" w:line="268"/>
      </w:pPr>
      <w:r>
        <w:rPr>
          <w:rFonts w:ascii="Calibri" w:cs="Calibri" w:eastAsia="Calibri" w:hAnsi="Calibri"/>
          <w:color w:val="1F2937"/>
          <w:sz w:val="20"/>
          <w:szCs w:val="20"/>
        </w:rPr>
        <w:t xml:space="preserve">Failure to have a reception platform: EUR 500 three months after a mise en demeure, then EUR 1,000 for each further three-month period.</w:t>
      </w:r>
    </w:p>
    <w:p>
      <w:pPr>
        <w:spacing w:after="80"/>
      </w:pPr>
    </w:p>
    <w:tbl>
      <w:tblPr>
        <w:tblW w:type="dxa" w:w="9026"/>
        <w:tblBorders>
          <w:top w:val="single" w:color="E8B384" w:sz="2"/>
          <w:left w:val="single" w:color="E8B384" w:sz="18"/>
          <w:bottom w:val="single" w:color="E8B384" w:sz="2"/>
          <w:right w:val="single" w:color="E8B384" w:sz="2"/>
          <w:insideH w:val="none" w:color="FFFFFF" w:sz="0"/>
          <w:insideV w:val="none" w:color="FFFFFF" w:sz="0"/>
        </w:tblBorders>
        <w:tblLayout w:type="fixed"/>
      </w:tblPr>
      <w:tblGrid>
        <w:gridCol w:w="9026"/>
      </w:tblGrid>
      <w:tr>
        <w:tc>
          <w:tcPr>
            <w:tcW w:type="dxa" w:w="9026"/>
            <w:shd w:fill="FDF3E7"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THE GRACE PERIOD</w:t>
            </w:r>
          </w:p>
          <w:p>
            <w:pPr>
              <w:spacing w:after="90" w:before="0" w:line="276"/>
            </w:pPr>
            <w:r>
              <w:rPr>
                <w:rFonts w:ascii="Calibri" w:cs="Calibri" w:eastAsia="Calibri" w:hAnsi="Calibri"/>
                <w:color w:val="1F2937"/>
                <w:sz w:val="20"/>
                <w:szCs w:val="20"/>
              </w:rPr>
              <w:t xml:space="preserve">A sanctions grace period runs for the remainder of 2026 for companies in genuine difficulty. It expires on 31 December 2026.</w:t>
            </w:r>
          </w:p>
          <w:p>
            <w:pPr>
              <w:spacing w:after="0" w:before="0" w:line="276"/>
            </w:pPr>
            <w:r>
              <w:rPr>
                <w:rFonts w:ascii="Calibri" w:cs="Calibri" w:eastAsia="Calibri" w:hAnsi="Calibri"/>
                <w:color w:val="1F2937"/>
                <w:sz w:val="20"/>
                <w:szCs w:val="20"/>
              </w:rPr>
              <w:t xml:space="preserve">Read that as a deadline rather than a concession. A French entity not connected by the new year is exposed from the first invoice of 2027, and the reception penalty compounds every three months until it is fixed.</w:t>
            </w:r>
          </w:p>
        </w:tc>
      </w:tr>
    </w:tbl>
    <w:p>
      <w:pPr>
        <w:spacing w:after="0" w:before="0" w:line="276"/>
      </w:pPr>
      <w:r>
        <w:rPr>
          <w:rFonts w:ascii="Calibri" w:cs="Calibri" w:eastAsia="Calibri" w:hAnsi="Calibri"/>
          <w:color w:val="1F2937"/>
          <w:sz w:val="20"/>
          <w:szCs w:val="20"/>
        </w:rPr>
        <w:t xml:space="preserve">The e-reporting penalty could not be read from Légifrance and is deliberately not stated here.</w:t>
      </w:r>
    </w:p>
    <w:p>
      <w:pPr>
        <w:pBdr>
          <w:bottom w:val="single" w:color="D9E0EC" w:sz="6" w:space="6"/>
        </w:pBdr>
        <w:spacing w:after="120" w:before="300"/>
      </w:pPr>
      <w:r>
        <w:rPr>
          <w:rFonts w:ascii="Calibri" w:cs="Calibri" w:eastAsia="Calibri" w:hAnsi="Calibri"/>
          <w:b/>
          <w:bCs/>
          <w:color w:val="2563EB"/>
          <w:sz w:val="26"/>
          <w:szCs w:val="26"/>
        </w:rPr>
        <w:t xml:space="preserve">6  </w:t>
      </w:r>
      <w:r>
        <w:rPr>
          <w:rFonts w:ascii="Calibri" w:cs="Calibri" w:eastAsia="Calibri" w:hAnsi="Calibri"/>
          <w:b/>
          <w:bCs/>
          <w:color w:val="10203F"/>
          <w:sz w:val="26"/>
          <w:szCs w:val="26"/>
        </w:rPr>
        <w:t xml:space="preserve">A ninety-day checklist</w:t>
      </w:r>
    </w:p>
    <w:p>
      <w:pPr>
        <w:spacing w:after="130" w:before="0" w:line="276"/>
      </w:pPr>
      <w:r>
        <w:rPr>
          <w:rFonts w:ascii="Calibri" w:cs="Calibri" w:eastAsia="Calibri" w:hAnsi="Calibri"/>
          <w:color w:val="1F2937"/>
          <w:sz w:val="20"/>
          <w:szCs w:val="20"/>
        </w:rPr>
        <w:t xml:space="preserve">In order. The first item blocks everything else.</w:t>
      </w:r>
    </w:p>
    <w:p>
      <w:pPr>
        <w:pStyle w:val="ListParagraph"/>
        <w:numPr>
          <w:ilvl w:val="0"/>
          <w:numId w:val="2"/>
        </w:numPr>
        <w:spacing w:after="70" w:line="268"/>
      </w:pPr>
      <w:r>
        <w:rPr>
          <w:rFonts w:ascii="Calibri" w:cs="Calibri" w:eastAsia="Calibri" w:hAnsi="Calibri"/>
          <w:color w:val="1F2937"/>
          <w:sz w:val="20"/>
          <w:szCs w:val="20"/>
        </w:rPr>
        <w:t xml:space="preserve">Confirm whether each French entity has a contracted plateforme agréée. If any does not, that is the only thing that matters this month.</w:t>
      </w:r>
    </w:p>
    <w:p>
      <w:pPr>
        <w:pStyle w:val="ListParagraph"/>
        <w:numPr>
          <w:ilvl w:val="0"/>
          <w:numId w:val="2"/>
        </w:numPr>
        <w:spacing w:after="70" w:line="268"/>
      </w:pPr>
      <w:r>
        <w:rPr>
          <w:rFonts w:ascii="Calibri" w:cs="Calibri" w:eastAsia="Calibri" w:hAnsi="Calibri"/>
          <w:color w:val="1F2937"/>
          <w:sz w:val="20"/>
          <w:szCs w:val="20"/>
        </w:rPr>
        <w:t xml:space="preserve">Check your wave against the 1 January 2025 size position, not today’s.</w:t>
      </w:r>
    </w:p>
    <w:p>
      <w:pPr>
        <w:pStyle w:val="ListParagraph"/>
        <w:numPr>
          <w:ilvl w:val="0"/>
          <w:numId w:val="2"/>
        </w:numPr>
        <w:spacing w:after="70" w:line="268"/>
      </w:pPr>
      <w:r>
        <w:rPr>
          <w:rFonts w:ascii="Calibri" w:cs="Calibri" w:eastAsia="Calibri" w:hAnsi="Calibri"/>
          <w:color w:val="1F2937"/>
          <w:sz w:val="20"/>
          <w:szCs w:val="20"/>
        </w:rPr>
        <w:t xml:space="preserve">Scope e-reporting separately from invoicing. It covers the flows outside domestic B2B and is routinely left out.</w:t>
      </w:r>
    </w:p>
    <w:p>
      <w:pPr>
        <w:pStyle w:val="ListParagraph"/>
        <w:numPr>
          <w:ilvl w:val="0"/>
          <w:numId w:val="2"/>
        </w:numPr>
        <w:spacing w:after="70" w:line="268"/>
      </w:pPr>
      <w:r>
        <w:rPr>
          <w:rFonts w:ascii="Calibri" w:cs="Calibri" w:eastAsia="Calibri" w:hAnsi="Calibri"/>
          <w:color w:val="1F2937"/>
          <w:sz w:val="20"/>
          <w:szCs w:val="20"/>
        </w:rPr>
        <w:t xml:space="preserve">Remove any assumption that the Portail Public will transmit invoices. It is the directory.</w:t>
      </w:r>
    </w:p>
    <w:p>
      <w:pPr>
        <w:pStyle w:val="ListParagraph"/>
        <w:numPr>
          <w:ilvl w:val="0"/>
          <w:numId w:val="2"/>
        </w:numPr>
        <w:spacing w:after="70" w:line="268"/>
      </w:pPr>
      <w:r>
        <w:rPr>
          <w:rFonts w:ascii="Calibri" w:cs="Calibri" w:eastAsia="Calibri" w:hAnsi="Calibri"/>
          <w:color w:val="1F2937"/>
          <w:sz w:val="20"/>
          <w:szCs w:val="20"/>
        </w:rPr>
        <w:t xml:space="preserve">Confirm your platform supports UBL, CII and Factur-X, and which your trading partners expect.</w:t>
      </w:r>
    </w:p>
    <w:p>
      <w:pPr>
        <w:pStyle w:val="ListParagraph"/>
        <w:numPr>
          <w:ilvl w:val="0"/>
          <w:numId w:val="2"/>
        </w:numPr>
        <w:spacing w:after="70" w:line="268"/>
      </w:pPr>
      <w:r>
        <w:rPr>
          <w:rFonts w:ascii="Calibri" w:cs="Calibri" w:eastAsia="Calibri" w:hAnsi="Calibri"/>
          <w:color w:val="1F2937"/>
          <w:sz w:val="20"/>
          <w:szCs w:val="20"/>
        </w:rPr>
        <w:t xml:space="preserve">Diarise 31 December 2026 as the end of the grace period, and 1 September 2027 for the second issuing wave.</w:t>
      </w:r>
    </w:p>
    <w:p>
      <w:pPr>
        <w:pStyle w:val="ListParagraph"/>
        <w:numPr>
          <w:ilvl w:val="0"/>
          <w:numId w:val="2"/>
        </w:numPr>
        <w:spacing w:after="70" w:line="268"/>
      </w:pPr>
      <w:r>
        <w:rPr>
          <w:rFonts w:ascii="Calibri" w:cs="Calibri" w:eastAsia="Calibri" w:hAnsi="Calibri"/>
          <w:color w:val="1F2937"/>
          <w:sz w:val="20"/>
          <w:szCs w:val="20"/>
        </w:rPr>
        <w:t xml:space="preserve">If you are considering running your own platform, start the immatriculation conversation now — it is a three-year accreditation, not a technical integration.</w:t>
      </w:r>
    </w:p>
    <w:p>
      <w:pPr>
        <w:pBdr>
          <w:bottom w:val="single" w:color="D9E0EC" w:sz="6" w:space="6"/>
        </w:pBdr>
        <w:spacing w:after="120" w:before="300"/>
      </w:pPr>
      <w:r>
        <w:rPr>
          <w:rFonts w:ascii="Calibri" w:cs="Calibri" w:eastAsia="Calibri" w:hAnsi="Calibri"/>
          <w:b/>
          <w:bCs/>
          <w:color w:val="2563EB"/>
          <w:sz w:val="26"/>
          <w:szCs w:val="26"/>
        </w:rPr>
        <w:t xml:space="preserve">7  </w:t>
      </w:r>
      <w:r>
        <w:rPr>
          <w:rFonts w:ascii="Calibri" w:cs="Calibri" w:eastAsia="Calibri" w:hAnsi="Calibri"/>
          <w:b/>
          <w:bCs/>
          <w:color w:val="10203F"/>
          <w:sz w:val="26"/>
          <w:szCs w:val="26"/>
        </w:rPr>
        <w:t xml:space="preserve">Where every statement above comes from</w:t>
      </w:r>
    </w:p>
    <w:p>
      <w:pPr>
        <w:spacing w:after="140" w:before="0" w:line="276"/>
      </w:pPr>
      <w:r>
        <w:rPr>
          <w:rFonts w:ascii="Calibri" w:cs="Calibri" w:eastAsia="Calibri" w:hAnsi="Calibri"/>
          <w:color w:val="1F2937"/>
          <w:sz w:val="20"/>
          <w:szCs w:val="20"/>
        </w:rPr>
        <w:t xml:space="preserve">Checked against DGFiP’s own guides and fiches on 4 October 2026. The e-reporting penalty could not be confirmed from a primary source and is not stated.</w:t>
      </w:r>
    </w:p>
    <w:p>
      <w:pPr>
        <w:pStyle w:val="ListParagraph"/>
        <w:numPr>
          <w:ilvl w:val="0"/>
          <w:numId w:val="2"/>
        </w:numPr>
        <w:spacing w:after="70" w:line="268"/>
      </w:pPr>
      <w:r>
        <w:rPr>
          <w:rFonts w:ascii="Calibri" w:cs="Calibri" w:eastAsia="Calibri" w:hAnsi="Calibri"/>
          <w:color w:val="1F2937"/>
          <w:sz w:val="20"/>
          <w:szCs w:val="20"/>
        </w:rPr>
        <w:t xml:space="preserve">Fiche plateformes agréées — DGFiP</w:t>
      </w:r>
    </w:p>
    <w:p>
      <w:pPr>
        <w:pStyle w:val="ListParagraph"/>
        <w:numPr>
          <w:ilvl w:val="0"/>
          <w:numId w:val="2"/>
        </w:numPr>
        <w:spacing w:after="70" w:line="268"/>
      </w:pPr>
      <w:r>
        <w:rPr>
          <w:rFonts w:ascii="Calibri" w:cs="Calibri" w:eastAsia="Calibri" w:hAnsi="Calibri"/>
          <w:color w:val="1F2937"/>
          <w:sz w:val="20"/>
          <w:szCs w:val="20"/>
        </w:rPr>
        <w:t xml:space="preserve">Guide pratique de démarrage — DGFiP</w:t>
      </w:r>
    </w:p>
    <w:p>
      <w:pPr>
        <w:pStyle w:val="ListParagraph"/>
        <w:numPr>
          <w:ilvl w:val="0"/>
          <w:numId w:val="2"/>
        </w:numPr>
        <w:spacing w:after="70" w:line="268"/>
      </w:pPr>
      <w:r>
        <w:rPr>
          <w:rFonts w:ascii="Calibri" w:cs="Calibri" w:eastAsia="Calibri" w:hAnsi="Calibri"/>
          <w:color w:val="1F2937"/>
          <w:sz w:val="20"/>
          <w:szCs w:val="20"/>
        </w:rPr>
        <w:t xml:space="preserve">Fiche formats et e-reporting — DGFiP</w:t>
      </w:r>
    </w:p>
    <w:p>
      <w:pPr>
        <w:spacing w:after="120"/>
      </w:pPr>
    </w:p>
    <w:p>
      <w:pPr>
        <w:spacing w:after="160" w:before="0" w:line="276"/>
      </w:pPr>
      <w:r>
        <w:rPr>
          <w:rFonts w:ascii="Calibri" w:cs="Calibri" w:eastAsia="Calibri" w:hAnsi="Calibri"/>
          <w:b/>
          <w:bCs/>
          <w:color w:val="1F2937"/>
          <w:sz w:val="20"/>
          <w:szCs w:val="20"/>
        </w:rPr>
        <w:t xml:space="preserve">Live, dated and linked: </w:t>
      </w:r>
      <w:r>
        <w:rPr>
          <w:rFonts w:ascii="Calibri" w:cs="Calibri" w:eastAsia="Calibri" w:hAnsi="Calibri"/>
          <w:color w:val="1F2937"/>
          <w:sz w:val="20"/>
          <w:szCs w:val="20"/>
        </w:rPr>
        <w:t xml:space="preserve">every row behind this sheet sits in the obligation tracker at saurabhsatija.com/tracker, with a link to the DGFiP page it came from and the date it was last checked.</w:t>
      </w:r>
    </w:p>
    <w:p>
      <w:pPr>
        <w:pBdr>
          <w:top w:val="single" w:color="D9E0EC" w:sz="6" w:space="10"/>
        </w:pBdr>
        <w:spacing w:after="0" w:before="120"/>
      </w:pPr>
      <w:r>
        <w:rPr>
          <w:rFonts w:ascii="Calibri" w:cs="Calibri" w:eastAsia="Calibri" w:hAnsi="Calibri"/>
          <w:i/>
          <w:iCs/>
          <w:color w:val="5A6B87"/>
          <w:sz w:val="15"/>
          <w:szCs w:val="15"/>
        </w:rPr>
        <w:t xml:space="preserve">Saurabh Satija — VP Sales, UK &amp; Ireland and Global Head, BEPS &amp; Pillar Two, DataTracks, London. This is a scoping aid, not tax advice, and not my employer’s view. Verify against DGFiP before you rely on it. © 2026 Saurabh Satija.</w:t>
      </w:r>
    </w:p>
    <w:sectPr>
      <w:pgSz w:w="11906" w:h="16838" w:orient="portrait"/>
      <w:pgMar w:top="1296" w:right="1440" w:bottom="1296"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00"/>
      </w:pPr>
    </w:lvl>
    <w:lvl w:ilvl="1" w:tentative="1">
      <w:start w:val="1"/>
      <w:numFmt w:val="bullet"/>
      <w:lvlText w:val="–"/>
      <w:lvlJc w:val="left"/>
      <w:pPr>
        <w:ind w:left="72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E-invoicing in France — readiness cheat sheet</dc:title>
  <dc:creator>Saurabh Satija</dc:creator>
  <dc:description>The accredited platform rule, the three obligations, the size trap, and the grace period ending 31 December 2026.</dc:description>
  <cp:lastModifiedBy>Un-named</cp:lastModifiedBy>
  <cp:revision>1</cp:revision>
  <dcterms:created xsi:type="dcterms:W3CDTF">2026-10-08T08:05:42.571Z</dcterms:created>
  <dcterms:modified xsi:type="dcterms:W3CDTF">2026-10-08T08:05:42.571Z</dcterms:modified>
</cp:coreProperties>
</file>

<file path=docProps/custom.xml><?xml version="1.0" encoding="utf-8"?>
<Properties xmlns="http://schemas.openxmlformats.org/officeDocument/2006/custom-properties" xmlns:vt="http://schemas.openxmlformats.org/officeDocument/2006/docPropsVTypes"/>
</file>