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pPr>
      <w:r>
        <w:rPr>
          <w:rFonts w:ascii="Calibri" w:cs="Calibri" w:eastAsia="Calibri" w:hAnsi="Calibri"/>
          <w:b/>
          <w:bCs/>
          <w:color w:val="5A6B87"/>
          <w:spacing w:val="30"/>
          <w:sz w:val="15"/>
          <w:szCs w:val="15"/>
        </w:rPr>
        <w:t xml:space="preserve">CANADA · FILING READINESS CHEAT SHEET · OCTOBER 2026</w:t>
      </w:r>
    </w:p>
    <w:p>
      <w:pPr>
        <w:spacing w:after="60" w:before="0"/>
      </w:pPr>
      <w:r>
        <w:rPr>
          <w:rFonts w:ascii="Calibri" w:cs="Calibri" w:eastAsia="Calibri" w:hAnsi="Calibri"/>
          <w:b/>
          <w:bCs/>
          <w:color w:val="10203F"/>
          <w:sz w:val="40"/>
          <w:szCs w:val="40"/>
        </w:rPr>
        <w:t xml:space="preserve">Filing Pillar Two in Canada</w:t>
      </w:r>
    </w:p>
    <w:p>
      <w:pPr>
        <w:spacing w:after="160" w:before="0" w:line="276"/>
      </w:pPr>
      <w:r>
        <w:rPr>
          <w:rFonts w:ascii="Calibri" w:cs="Calibri" w:eastAsia="Calibri" w:hAnsi="Calibri"/>
          <w:b/>
          <w:bCs/>
          <w:color w:val="10203F"/>
          <w:sz w:val="23"/>
          <w:szCs w:val="23"/>
        </w:rPr>
        <w:t xml:space="preserve">No web form. Filing is API-only, the token requires passing certification testing first, and the UTPR is still before Parliament.</w:t>
      </w:r>
    </w:p>
    <w:p>
      <w:pPr>
        <w:spacing w:after="200" w:before="0" w:line="276"/>
      </w:pPr>
      <w:r>
        <w:rPr>
          <w:rFonts w:ascii="Calibri" w:cs="Calibri" w:eastAsia="Calibri" w:hAnsi="Calibri"/>
          <w:color w:val="1F2937"/>
          <w:sz w:val="20"/>
          <w:szCs w:val="20"/>
        </w:rPr>
        <w:t xml:space="preserve">Germany makes you wait six weeks for a certificate. Australia caps a form at twenty entities. Canada does something different again: it requires you to prove your systems work before it will let you file at all. That makes the Canadian access layer an engineering dependency rather than an administrative one.</w:t>
      </w:r>
    </w:p>
    <w:tbl>
      <w:tblPr>
        <w:tblW w:type="dxa" w:w="9026"/>
        <w:tblBorders>
          <w:top w:val="single" w:color="E8B384" w:sz="2"/>
          <w:left w:val="single" w:color="E8B384" w:sz="18"/>
          <w:bottom w:val="single" w:color="E8B384" w:sz="2"/>
          <w:right w:val="single" w:color="E8B384" w:sz="2"/>
          <w:insideH w:val="none" w:color="FFFFFF" w:sz="0"/>
          <w:insideV w:val="none" w:color="FFFFFF" w:sz="0"/>
        </w:tblBorders>
        <w:tblLayout w:type="fixed"/>
      </w:tblPr>
      <w:tblGrid>
        <w:gridCol w:w="9026"/>
      </w:tblGrid>
      <w:tr>
        <w:tc>
          <w:tcPr>
            <w:tcW w:type="dxa" w:w="9026"/>
            <w:shd w:fill="FDF3E7" w:color="auto" w:val="clear"/>
            <w:tcMar>
              <w:top w:type="dxa" w:w="140"/>
              <w:left w:type="dxa" w:w="200"/>
              <w:bottom w:type="dxa" w:w="140"/>
              <w:right w:type="dxa" w:w="180"/>
            </w:tcMar>
          </w:tcPr>
          <w:p>
            <w:pPr>
              <w:spacing w:after="100"/>
            </w:pPr>
            <w:r>
              <w:rPr>
                <w:rFonts w:ascii="Calibri" w:cs="Calibri" w:eastAsia="Calibri" w:hAnsi="Calibri"/>
                <w:b/>
                <w:bCs/>
                <w:color w:val="5A6B87"/>
                <w:spacing w:val="30"/>
                <w:sz w:val="15"/>
                <w:szCs w:val="15"/>
              </w:rPr>
              <w:t xml:space="preserve">START HERE, IF YOU READ NOTHING ELSE</w:t>
            </w:r>
          </w:p>
          <w:p>
            <w:pPr>
              <w:spacing w:after="90" w:before="0" w:line="276"/>
            </w:pPr>
            <w:r>
              <w:rPr>
                <w:rFonts w:ascii="Calibri" w:cs="Calibri" w:eastAsia="Calibri" w:hAnsi="Calibri"/>
                <w:color w:val="1F2937"/>
                <w:sz w:val="20"/>
                <w:szCs w:val="20"/>
              </w:rPr>
              <w:t xml:space="preserve">There is no web form. Every Canadian Pillar Two filing goes by API, in XML or JSON. To obtain the API token you must first pass mandatory validation of ALL schemas in the CRA Certification Testing environment. No token, no filing.</w:t>
            </w:r>
          </w:p>
          <w:p>
            <w:pPr>
              <w:spacing w:after="0" w:before="0" w:line="276"/>
            </w:pPr>
            <w:r>
              <w:rPr>
                <w:rFonts w:ascii="Calibri" w:cs="Calibri" w:eastAsia="Calibri" w:hAnsi="Calibri"/>
                <w:color w:val="1F2937"/>
                <w:sz w:val="20"/>
                <w:szCs w:val="20"/>
              </w:rPr>
              <w:t xml:space="preserve">Second: the UTPR is NOT in force in Canada. It sits in Bill C-31, which as at 3 October 2026 had passed second reading and a Senate pre-study and was in committee. Date any statement you make about this — royal assent may well be near.</w:t>
            </w:r>
          </w:p>
        </w:tc>
      </w:tr>
    </w:tbl>
    <w:p>
      <w:pPr>
        <w:pBdr>
          <w:bottom w:val="single" w:color="D9E0EC" w:sz="6" w:space="6"/>
        </w:pBdr>
        <w:spacing w:after="120" w:before="300"/>
      </w:pPr>
      <w:r>
        <w:rPr>
          <w:rFonts w:ascii="Calibri" w:cs="Calibri" w:eastAsia="Calibri" w:hAnsi="Calibri"/>
          <w:b/>
          <w:bCs/>
          <w:color w:val="2563EB"/>
          <w:sz w:val="26"/>
          <w:szCs w:val="26"/>
        </w:rPr>
        <w:t xml:space="preserve">1  </w:t>
      </w:r>
      <w:r>
        <w:rPr>
          <w:rFonts w:ascii="Calibri" w:cs="Calibri" w:eastAsia="Calibri" w:hAnsi="Calibri"/>
          <w:b/>
          <w:bCs/>
          <w:color w:val="10203F"/>
          <w:sz w:val="26"/>
          <w:szCs w:val="26"/>
        </w:rPr>
        <w:t xml:space="preserve">The access layer is a software project</w:t>
      </w:r>
    </w:p>
    <w:p>
      <w:pPr>
        <w:spacing w:after="150" w:before="0" w:line="276"/>
      </w:pPr>
      <w:r>
        <w:rPr>
          <w:rFonts w:ascii="Calibri" w:cs="Calibri" w:eastAsia="Calibri" w:hAnsi="Calibri"/>
          <w:color w:val="1F2937"/>
          <w:sz w:val="20"/>
          <w:szCs w:val="20"/>
        </w:rPr>
        <w:t xml:space="preserve">You need a PT program account, and then an API token. The token is issued only after validation of all schemas in the CRA Certification Testing environment. This is mandatory, not advisory.</w:t>
      </w:r>
    </w:p>
    <w:p>
      <w:pPr>
        <w:spacing w:after="100" w:line="268"/>
        <w:ind w:left="360" w:hanging="360"/>
      </w:pPr>
      <w:r>
        <w:rPr>
          <w:rFonts w:ascii="Calibri" w:cs="Calibri" w:eastAsia="Calibri" w:hAnsi="Calibri"/>
          <w:b/>
          <w:bCs/>
          <w:color w:val="2563EB"/>
          <w:sz w:val="20"/>
          <w:szCs w:val="20"/>
        </w:rPr>
        <w:t xml:space="preserve">1.  </w:t>
      </w:r>
      <w:r>
        <w:rPr>
          <w:rFonts w:ascii="Calibri" w:cs="Calibri" w:eastAsia="Calibri" w:hAnsi="Calibri"/>
          <w:b/>
          <w:bCs/>
          <w:color w:val="10203F"/>
          <w:sz w:val="20"/>
          <w:szCs w:val="20"/>
        </w:rPr>
        <w:t xml:space="preserve">Register for a PT program account. </w:t>
      </w:r>
      <w:r>
        <w:rPr>
          <w:rFonts w:ascii="Calibri" w:cs="Calibri" w:eastAsia="Calibri" w:hAnsi="Calibri"/>
          <w:color w:val="1F2937"/>
          <w:sz w:val="20"/>
          <w:szCs w:val="20"/>
        </w:rPr>
        <w:t xml:space="preserve">Registration opened 20 October 2025.</w:t>
      </w:r>
    </w:p>
    <w:p>
      <w:pPr>
        <w:spacing w:after="100" w:line="268"/>
        <w:ind w:left="360" w:hanging="360"/>
      </w:pPr>
      <w:r>
        <w:rPr>
          <w:rFonts w:ascii="Calibri" w:cs="Calibri" w:eastAsia="Calibri" w:hAnsi="Calibri"/>
          <w:b/>
          <w:bCs/>
          <w:color w:val="2563EB"/>
          <w:sz w:val="20"/>
          <w:szCs w:val="20"/>
        </w:rPr>
        <w:t xml:space="preserve">2.  </w:t>
      </w:r>
      <w:r>
        <w:rPr>
          <w:rFonts w:ascii="Calibri" w:cs="Calibri" w:eastAsia="Calibri" w:hAnsi="Calibri"/>
          <w:b/>
          <w:bCs/>
          <w:color w:val="10203F"/>
          <w:sz w:val="20"/>
          <w:szCs w:val="20"/>
        </w:rPr>
        <w:t xml:space="preserve">Build to the schemas. </w:t>
      </w:r>
      <w:r>
        <w:rPr>
          <w:rFonts w:ascii="Calibri" w:cs="Calibri" w:eastAsia="Calibri" w:hAnsi="Calibri"/>
          <w:color w:val="1F2937"/>
          <w:sz w:val="20"/>
          <w:szCs w:val="20"/>
        </w:rPr>
        <w:t xml:space="preserve">XML for the GIR, JSON for the notification and the return.</w:t>
      </w:r>
    </w:p>
    <w:p>
      <w:pPr>
        <w:spacing w:after="100" w:line="268"/>
        <w:ind w:left="360" w:hanging="360"/>
      </w:pPr>
      <w:r>
        <w:rPr>
          <w:rFonts w:ascii="Calibri" w:cs="Calibri" w:eastAsia="Calibri" w:hAnsi="Calibri"/>
          <w:b/>
          <w:bCs/>
          <w:color w:val="2563EB"/>
          <w:sz w:val="20"/>
          <w:szCs w:val="20"/>
        </w:rPr>
        <w:t xml:space="preserve">3.  </w:t>
      </w:r>
      <w:r>
        <w:rPr>
          <w:rFonts w:ascii="Calibri" w:cs="Calibri" w:eastAsia="Calibri" w:hAnsi="Calibri"/>
          <w:b/>
          <w:bCs/>
          <w:color w:val="10203F"/>
          <w:sz w:val="20"/>
          <w:szCs w:val="20"/>
        </w:rPr>
        <w:t xml:space="preserve">Pass certification testing. </w:t>
      </w:r>
      <w:r>
        <w:rPr>
          <w:rFonts w:ascii="Calibri" w:cs="Calibri" w:eastAsia="Calibri" w:hAnsi="Calibri"/>
          <w:color w:val="1F2937"/>
          <w:sz w:val="20"/>
          <w:szCs w:val="20"/>
        </w:rPr>
        <w:t xml:space="preserve">Available from 5 January 2026. All schemas must validate.</w:t>
      </w:r>
    </w:p>
    <w:p>
      <w:pPr>
        <w:spacing w:after="100" w:line="268"/>
        <w:ind w:left="360" w:hanging="360"/>
      </w:pPr>
      <w:r>
        <w:rPr>
          <w:rFonts w:ascii="Calibri" w:cs="Calibri" w:eastAsia="Calibri" w:hAnsi="Calibri"/>
          <w:b/>
          <w:bCs/>
          <w:color w:val="2563EB"/>
          <w:sz w:val="20"/>
          <w:szCs w:val="20"/>
        </w:rPr>
        <w:t xml:space="preserve">4.  </w:t>
      </w:r>
      <w:r>
        <w:rPr>
          <w:rFonts w:ascii="Calibri" w:cs="Calibri" w:eastAsia="Calibri" w:hAnsi="Calibri"/>
          <w:b/>
          <w:bCs/>
          <w:color w:val="10203F"/>
          <w:sz w:val="20"/>
          <w:szCs w:val="20"/>
        </w:rPr>
        <w:t xml:space="preserve">Receive the API token. </w:t>
      </w:r>
      <w:r>
        <w:rPr>
          <w:rFonts w:ascii="Calibri" w:cs="Calibri" w:eastAsia="Calibri" w:hAnsi="Calibri"/>
          <w:color w:val="1F2937"/>
          <w:sz w:val="20"/>
          <w:szCs w:val="20"/>
        </w:rPr>
        <w:t xml:space="preserve">Only now can anything be submitted.</w:t>
      </w:r>
    </w:p>
    <w:p>
      <w:pPr>
        <w:spacing w:after="100" w:line="268"/>
        <w:ind w:left="360" w:hanging="360"/>
      </w:pPr>
      <w:r>
        <w:rPr>
          <w:rFonts w:ascii="Calibri" w:cs="Calibri" w:eastAsia="Calibri" w:hAnsi="Calibri"/>
          <w:b/>
          <w:bCs/>
          <w:color w:val="2563EB"/>
          <w:sz w:val="20"/>
          <w:szCs w:val="20"/>
        </w:rPr>
        <w:t xml:space="preserve">5.  </w:t>
      </w:r>
      <w:r>
        <w:rPr>
          <w:rFonts w:ascii="Calibri" w:cs="Calibri" w:eastAsia="Calibri" w:hAnsi="Calibri"/>
          <w:b/>
          <w:bCs/>
          <w:color w:val="10203F"/>
          <w:sz w:val="20"/>
          <w:szCs w:val="20"/>
        </w:rPr>
        <w:t xml:space="preserve">Submit, then wait. </w:t>
      </w:r>
      <w:r>
        <w:rPr>
          <w:rFonts w:ascii="Calibri" w:cs="Calibri" w:eastAsia="Calibri" w:hAnsi="Calibri"/>
          <w:color w:val="1F2937"/>
          <w:sz w:val="20"/>
          <w:szCs w:val="20"/>
        </w:rPr>
        <w:t xml:space="preserve">Acceptance is confirmed about 24 hours after submission.</w:t>
      </w:r>
    </w:p>
    <w:p>
      <w:pPr>
        <w:spacing w:after="80"/>
      </w:pPr>
    </w:p>
    <w:tbl>
      <w:tblPr>
        <w:tblW w:type="dxa" w:w="9026"/>
        <w:tblBorders>
          <w:top w:val="single" w:color="B9CCF0" w:sz="2"/>
          <w:left w:val="single" w:color="B9CCF0" w:sz="18"/>
          <w:bottom w:val="single" w:color="B9CCF0" w:sz="2"/>
          <w:right w:val="single" w:color="B9CCF0" w:sz="2"/>
          <w:insideH w:val="none" w:color="FFFFFF" w:sz="0"/>
          <w:insideV w:val="none" w:color="FFFFFF" w:sz="0"/>
        </w:tblBorders>
        <w:tblLayout w:type="fixed"/>
      </w:tblPr>
      <w:tblGrid>
        <w:gridCol w:w="9026"/>
      </w:tblGrid>
      <w:tr>
        <w:tc>
          <w:tcPr>
            <w:tcW w:type="dxa" w:w="9026"/>
            <w:shd w:fill="EEF3FC" w:color="auto" w:val="clear"/>
            <w:tcMar>
              <w:top w:type="dxa" w:w="140"/>
              <w:left w:type="dxa" w:w="200"/>
              <w:bottom w:type="dxa" w:w="140"/>
              <w:right w:type="dxa" w:w="180"/>
            </w:tcMar>
          </w:tcPr>
          <w:p>
            <w:pPr>
              <w:spacing w:after="100"/>
            </w:pPr>
            <w:r>
              <w:rPr>
                <w:rFonts w:ascii="Calibri" w:cs="Calibri" w:eastAsia="Calibri" w:hAnsi="Calibri"/>
                <w:b/>
                <w:bCs/>
                <w:color w:val="5A6B87"/>
                <w:spacing w:val="30"/>
                <w:sz w:val="15"/>
                <w:szCs w:val="15"/>
              </w:rPr>
              <w:t xml:space="preserve">WHY THIS CHANGES YOUR TIMELINE</w:t>
            </w:r>
          </w:p>
          <w:p>
            <w:pPr>
              <w:spacing w:after="90" w:before="0" w:line="276"/>
            </w:pPr>
            <w:r>
              <w:rPr>
                <w:rFonts w:ascii="Calibri" w:cs="Calibri" w:eastAsia="Calibri" w:hAnsi="Calibri"/>
                <w:color w:val="1F2937"/>
                <w:sz w:val="20"/>
                <w:szCs w:val="20"/>
              </w:rPr>
              <w:t xml:space="preserve">Every other jurisdiction’s access gate is administrative — a form, a queue, a credential. Canada’s is technical. It needs development effort and a testing cycle, which means it belongs on an engineering roadmap rather than a tax calendar.</w:t>
            </w:r>
          </w:p>
          <w:p>
            <w:pPr>
              <w:spacing w:after="0" w:before="0" w:line="276"/>
            </w:pPr>
            <w:r>
              <w:rPr>
                <w:rFonts w:ascii="Calibri" w:cs="Calibri" w:eastAsia="Calibri" w:hAnsi="Calibri"/>
                <w:color w:val="1F2937"/>
                <w:sz w:val="20"/>
                <w:szCs w:val="20"/>
              </w:rPr>
              <w:t xml:space="preserve">If you are relying on a provider’s existing certification, confirm in writing that it covers the specific schemas you need. If you are building in-house, the certification cycle is the long pole and nothing downstream of it can start.</w:t>
            </w:r>
          </w:p>
        </w:tc>
      </w:tr>
    </w:tbl>
    <w:p>
      <w:pPr>
        <w:pBdr>
          <w:bottom w:val="single" w:color="D9E0EC" w:sz="6" w:space="6"/>
        </w:pBdr>
        <w:spacing w:after="120" w:before="300"/>
      </w:pPr>
      <w:r>
        <w:rPr>
          <w:rFonts w:ascii="Calibri" w:cs="Calibri" w:eastAsia="Calibri" w:hAnsi="Calibri"/>
          <w:b/>
          <w:bCs/>
          <w:color w:val="2563EB"/>
          <w:sz w:val="26"/>
          <w:szCs w:val="26"/>
        </w:rPr>
        <w:t xml:space="preserve">2  </w:t>
      </w:r>
      <w:r>
        <w:rPr>
          <w:rFonts w:ascii="Calibri" w:cs="Calibri" w:eastAsia="Calibri" w:hAnsi="Calibri"/>
          <w:b/>
          <w:bCs/>
          <w:color w:val="10203F"/>
          <w:sz w:val="26"/>
          <w:szCs w:val="26"/>
        </w:rPr>
        <w:t xml:space="preserve">The UTPR is not in force, and that is worth saying carefully</w:t>
      </w:r>
    </w:p>
    <w:p>
      <w:pPr>
        <w:spacing w:after="140" w:before="0" w:line="276"/>
      </w:pPr>
      <w:r>
        <w:rPr>
          <w:rFonts w:ascii="Calibri" w:cs="Calibri" w:eastAsia="Calibri" w:hAnsi="Calibri"/>
          <w:color w:val="1F2937"/>
          <w:sz w:val="20"/>
          <w:szCs w:val="20"/>
        </w:rPr>
        <w:t xml:space="preserve">Canada’s IIR and domestic minimum top-up tax are law, under Parts 2 and 3 of the Global Minimum Tax Act, for fiscal years beginning on or after 31 December 2023.</w:t>
      </w:r>
    </w:p>
    <w:p>
      <w:pPr>
        <w:spacing w:after="140" w:before="0" w:line="276"/>
      </w:pPr>
      <w:r>
        <w:rPr>
          <w:rFonts w:ascii="Calibri" w:cs="Calibri" w:eastAsia="Calibri" w:hAnsi="Calibri"/>
          <w:color w:val="1F2937"/>
          <w:sz w:val="20"/>
          <w:szCs w:val="20"/>
        </w:rPr>
        <w:t xml:space="preserve">The UTPR is not. It is proposed in Bill C-31 for fiscal years beginning on or after 31 December 2025. As at 3 October 2026 the bill had passed second reading and a Senate pre-study, and sat in committee.</w:t>
      </w:r>
    </w:p>
    <w:tbl>
      <w:tblPr>
        <w:tblW w:type="dxa" w:w="9026"/>
        <w:tblBorders>
          <w:top w:val="single" w:color="E8B384" w:sz="2"/>
          <w:left w:val="single" w:color="E8B384" w:sz="18"/>
          <w:bottom w:val="single" w:color="E8B384" w:sz="2"/>
          <w:right w:val="single" w:color="E8B384" w:sz="2"/>
          <w:insideH w:val="none" w:color="FFFFFF" w:sz="0"/>
          <w:insideV w:val="none" w:color="FFFFFF" w:sz="0"/>
        </w:tblBorders>
        <w:tblLayout w:type="fixed"/>
      </w:tblPr>
      <w:tblGrid>
        <w:gridCol w:w="9026"/>
      </w:tblGrid>
      <w:tr>
        <w:tc>
          <w:tcPr>
            <w:tcW w:type="dxa" w:w="9026"/>
            <w:shd w:fill="FDF3E7" w:color="auto" w:val="clear"/>
            <w:tcMar>
              <w:top w:type="dxa" w:w="140"/>
              <w:left w:type="dxa" w:w="200"/>
              <w:bottom w:type="dxa" w:w="140"/>
              <w:right w:type="dxa" w:w="180"/>
            </w:tcMar>
          </w:tcPr>
          <w:p>
            <w:pPr>
              <w:spacing w:after="100"/>
            </w:pPr>
            <w:r>
              <w:rPr>
                <w:rFonts w:ascii="Calibri" w:cs="Calibri" w:eastAsia="Calibri" w:hAnsi="Calibri"/>
                <w:b/>
                <w:bCs/>
                <w:color w:val="5A6B87"/>
                <w:spacing w:val="30"/>
                <w:sz w:val="15"/>
                <w:szCs w:val="15"/>
              </w:rPr>
              <w:t xml:space="preserve">DATE THIS CLAIM WHENEVER YOU MAKE IT</w:t>
            </w:r>
          </w:p>
          <w:p>
            <w:pPr>
              <w:spacing w:after="0" w:before="0" w:line="276"/>
            </w:pPr>
            <w:r>
              <w:rPr>
                <w:rFonts w:ascii="Calibri" w:cs="Calibri" w:eastAsia="Calibri" w:hAnsi="Calibri"/>
                <w:color w:val="1F2937"/>
                <w:sz w:val="20"/>
                <w:szCs w:val="20"/>
              </w:rPr>
              <w:t xml:space="preserve">A bill in committee after a Senate pre-study is a bill close to royal assent. If you tell a client or a board that the Canadian UTPR is not in force, attach the date you checked — the statement has a short shelf life and being right last month is not a defence.</w:t>
            </w:r>
          </w:p>
        </w:tc>
      </w:tr>
    </w:tbl>
    <w:p>
      <w:pPr>
        <w:pBdr>
          <w:bottom w:val="single" w:color="D9E0EC" w:sz="6" w:space="6"/>
        </w:pBdr>
        <w:spacing w:after="120" w:before="300"/>
      </w:pPr>
      <w:r>
        <w:rPr>
          <w:rFonts w:ascii="Calibri" w:cs="Calibri" w:eastAsia="Calibri" w:hAnsi="Calibri"/>
          <w:b/>
          <w:bCs/>
          <w:color w:val="2563EB"/>
          <w:sz w:val="26"/>
          <w:szCs w:val="26"/>
        </w:rPr>
        <w:t xml:space="preserve">3  </w:t>
      </w:r>
      <w:r>
        <w:rPr>
          <w:rFonts w:ascii="Calibri" w:cs="Calibri" w:eastAsia="Calibri" w:hAnsi="Calibri"/>
          <w:b/>
          <w:bCs/>
          <w:color w:val="10203F"/>
          <w:sz w:val="26"/>
          <w:szCs w:val="26"/>
        </w:rPr>
        <w:t xml:space="preserve">What Canada actually asks for</w:t>
      </w:r>
    </w:p>
    <w:p>
      <w:pPr>
        <w:spacing w:after="150" w:before="0" w:line="276"/>
      </w:pPr>
      <w:r>
        <w:rPr>
          <w:rFonts w:ascii="Calibri" w:cs="Calibri" w:eastAsia="Calibri" w:hAnsi="Calibri"/>
          <w:color w:val="1F2937"/>
          <w:sz w:val="20"/>
          <w:szCs w:val="20"/>
        </w:rPr>
        <w:t xml:space="preserve">Three submissions, all by API, all tied to the same deadline rule.</w:t>
      </w:r>
    </w:p>
    <w:tbl>
      <w:tblPr>
        <w:tblW w:type="dxa" w:w="9026"/>
        <w:tblBorders>
          <w:top w:val="single" w:color="D9E0EC" w:sz="2"/>
          <w:left w:val="none" w:color="FFFFFF" w:sz="0"/>
          <w:bottom w:val="single" w:color="D9E0EC" w:sz="2"/>
          <w:right w:val="none" w:color="FFFFFF" w:sz="0"/>
          <w:insideH w:val="single" w:color="D9E0EC" w:sz="2"/>
          <w:insideV w:val="single" w:color="D9E0EC" w:sz="2"/>
        </w:tblBorders>
        <w:tblLayout w:type="fixed"/>
      </w:tblPr>
      <w:tblGrid>
        <w:gridCol w:w="2200"/>
        <w:gridCol w:w="2600"/>
        <w:gridCol w:w="2400"/>
        <w:gridCol w:w="1826"/>
      </w:tblGrid>
      <w:tr>
        <w:trPr>
          <w:cantSplit/>
          <w:tblHeader/>
        </w:trPr>
        <w:tc>
          <w:tcPr>
            <w:tcW w:type="dxa" w:w="2200"/>
            <w:shd w:fill="10203F" w:color="auto" w:val="clear"/>
            <w:tcMar>
              <w:top w:type="dxa" w:w="90"/>
              <w:left w:type="dxa" w:w="130"/>
              <w:bottom w:type="dxa" w:w="90"/>
              <w:right w:type="dxa" w:w="130"/>
            </w:tcMar>
          </w:tcPr>
          <w:p>
            <w:pPr>
              <w:spacing w:after="0"/>
            </w:pPr>
            <w:r>
              <w:rPr>
                <w:rFonts w:ascii="Calibri" w:cs="Calibri" w:eastAsia="Calibri" w:hAnsi="Calibri"/>
                <w:b/>
                <w:bCs/>
                <w:color w:val="FFFFFF"/>
                <w:sz w:val="17"/>
                <w:szCs w:val="17"/>
              </w:rPr>
              <w:t xml:space="preserve">Filing</w:t>
            </w:r>
          </w:p>
        </w:tc>
        <w:tc>
          <w:tcPr>
            <w:tcW w:type="dxa" w:w="2600"/>
            <w:shd w:fill="10203F" w:color="auto" w:val="clear"/>
            <w:tcMar>
              <w:top w:type="dxa" w:w="90"/>
              <w:left w:type="dxa" w:w="130"/>
              <w:bottom w:type="dxa" w:w="90"/>
              <w:right w:type="dxa" w:w="130"/>
            </w:tcMar>
          </w:tcPr>
          <w:p>
            <w:pPr>
              <w:spacing w:after="0"/>
            </w:pPr>
            <w:r>
              <w:rPr>
                <w:rFonts w:ascii="Calibri" w:cs="Calibri" w:eastAsia="Calibri" w:hAnsi="Calibri"/>
                <w:b/>
                <w:bCs/>
                <w:color w:val="FFFFFF"/>
                <w:sz w:val="17"/>
                <w:szCs w:val="17"/>
              </w:rPr>
              <w:t xml:space="preserve">What it is</w:t>
            </w:r>
          </w:p>
        </w:tc>
        <w:tc>
          <w:tcPr>
            <w:tcW w:type="dxa" w:w="2400"/>
            <w:shd w:fill="10203F" w:color="auto" w:val="clear"/>
            <w:tcMar>
              <w:top w:type="dxa" w:w="90"/>
              <w:left w:type="dxa" w:w="130"/>
              <w:bottom w:type="dxa" w:w="90"/>
              <w:right w:type="dxa" w:w="130"/>
            </w:tcMar>
          </w:tcPr>
          <w:p>
            <w:pPr>
              <w:spacing w:after="0"/>
            </w:pPr>
            <w:r>
              <w:rPr>
                <w:rFonts w:ascii="Calibri" w:cs="Calibri" w:eastAsia="Calibri" w:hAnsi="Calibri"/>
                <w:b/>
                <w:bCs/>
                <w:color w:val="FFFFFF"/>
                <w:sz w:val="17"/>
                <w:szCs w:val="17"/>
              </w:rPr>
              <w:t xml:space="preserve">Due</w:t>
            </w:r>
          </w:p>
        </w:tc>
        <w:tc>
          <w:tcPr>
            <w:tcW w:type="dxa" w:w="1826"/>
            <w:shd w:fill="10203F" w:color="auto" w:val="clear"/>
            <w:tcMar>
              <w:top w:type="dxa" w:w="90"/>
              <w:left w:type="dxa" w:w="130"/>
              <w:bottom w:type="dxa" w:w="90"/>
              <w:right w:type="dxa" w:w="130"/>
            </w:tcMar>
          </w:tcPr>
          <w:p>
            <w:pPr>
              <w:spacing w:after="0"/>
            </w:pPr>
            <w:r>
              <w:rPr>
                <w:rFonts w:ascii="Calibri" w:cs="Calibri" w:eastAsia="Calibri" w:hAnsi="Calibri"/>
                <w:b/>
                <w:bCs/>
                <w:color w:val="FFFFFF"/>
                <w:sz w:val="17"/>
                <w:szCs w:val="17"/>
              </w:rPr>
              <w:t xml:space="preserve">Format</w:t>
            </w:r>
          </w:p>
        </w:tc>
      </w:tr>
      <w:tr>
        <w:trPr>
          <w:cantSplit/>
        </w:trPr>
        <w:tc>
          <w:tcPr>
            <w:tcW w:type="dxa" w:w="2200"/>
            <w:shd w:fill="FFFFFF" w:color="auto" w:val="clear"/>
            <w:tcMar>
              <w:top w:type="dxa" w:w="90"/>
              <w:left w:type="dxa" w:w="130"/>
              <w:bottom w:type="dxa" w:w="90"/>
              <w:right w:type="dxa" w:w="130"/>
            </w:tcMar>
          </w:tcPr>
          <w:p>
            <w:pPr>
              <w:spacing w:after="0" w:line="254"/>
            </w:pPr>
            <w:r>
              <w:rPr>
                <w:rFonts w:ascii="Calibri" w:cs="Calibri" w:eastAsia="Calibri" w:hAnsi="Calibri"/>
                <w:b/>
                <w:bCs/>
                <w:color w:val="1F2937"/>
                <w:sz w:val="17"/>
                <w:szCs w:val="17"/>
              </w:rPr>
              <w:t xml:space="preserve">GloBE Information Return</w:t>
            </w:r>
          </w:p>
        </w:tc>
        <w:tc>
          <w:tcPr>
            <w:tcW w:type="dxa" w:w="2600"/>
            <w:shd w:fill="FFFFFF" w:color="auto" w:val="clear"/>
            <w:tcMar>
              <w:top w:type="dxa" w:w="90"/>
              <w:left w:type="dxa" w:w="130"/>
              <w:bottom w:type="dxa" w:w="90"/>
              <w:right w:type="dxa" w:w="130"/>
            </w:tcMar>
          </w:tcPr>
          <w:p>
            <w:pPr>
              <w:spacing w:after="0" w:line="254"/>
            </w:pPr>
            <w:r>
              <w:rPr>
                <w:rFonts w:ascii="Calibri" w:cs="Calibri" w:eastAsia="Calibri" w:hAnsi="Calibri"/>
                <w:b w:val="false"/>
                <w:bCs w:val="false"/>
                <w:color w:val="1F2937"/>
                <w:sz w:val="17"/>
                <w:szCs w:val="17"/>
              </w:rPr>
              <w:t xml:space="preserve">The OECD-format information return.</w:t>
            </w:r>
          </w:p>
        </w:tc>
        <w:tc>
          <w:tcPr>
            <w:tcW w:type="dxa" w:w="2400"/>
            <w:shd w:fill="FFFFFF" w:color="auto" w:val="clear"/>
            <w:tcMar>
              <w:top w:type="dxa" w:w="90"/>
              <w:left w:type="dxa" w:w="130"/>
              <w:bottom w:type="dxa" w:w="90"/>
              <w:right w:type="dxa" w:w="130"/>
            </w:tcMar>
          </w:tcPr>
          <w:p>
            <w:pPr>
              <w:spacing w:after="0" w:line="254"/>
            </w:pPr>
            <w:r>
              <w:rPr>
                <w:rFonts w:ascii="Calibri" w:cs="Calibri" w:eastAsia="Calibri" w:hAnsi="Calibri"/>
                <w:b w:val="false"/>
                <w:bCs w:val="false"/>
                <w:color w:val="1F2937"/>
                <w:sz w:val="17"/>
                <w:szCs w:val="17"/>
              </w:rPr>
              <w:t xml:space="preserve">18 months after the first fiscal year, 15 thereafter. Transitionally 30 June 2026 for years ending on or before 31 Dec 2024.</w:t>
            </w:r>
          </w:p>
        </w:tc>
        <w:tc>
          <w:tcPr>
            <w:tcW w:type="dxa" w:w="1826"/>
            <w:shd w:fill="FFFFFF" w:color="auto" w:val="clear"/>
            <w:tcMar>
              <w:top w:type="dxa" w:w="90"/>
              <w:left w:type="dxa" w:w="130"/>
              <w:bottom w:type="dxa" w:w="90"/>
              <w:right w:type="dxa" w:w="130"/>
            </w:tcMar>
          </w:tcPr>
          <w:p>
            <w:pPr>
              <w:spacing w:after="0" w:line="254"/>
            </w:pPr>
            <w:r>
              <w:rPr>
                <w:rFonts w:ascii="Calibri" w:cs="Calibri" w:eastAsia="Calibri" w:hAnsi="Calibri"/>
                <w:b w:val="false"/>
                <w:bCs w:val="false"/>
                <w:color w:val="1F2937"/>
                <w:sz w:val="17"/>
                <w:szCs w:val="17"/>
              </w:rPr>
              <w:t xml:space="preserve">XML by API</w:t>
            </w:r>
          </w:p>
        </w:tc>
      </w:tr>
      <w:tr>
        <w:trPr>
          <w:cantSplit/>
        </w:trPr>
        <w:tc>
          <w:tcPr>
            <w:tcW w:type="dxa" w:w="2200"/>
            <w:shd w:fill="F7F9FC" w:color="auto" w:val="clear"/>
            <w:tcMar>
              <w:top w:type="dxa" w:w="90"/>
              <w:left w:type="dxa" w:w="130"/>
              <w:bottom w:type="dxa" w:w="90"/>
              <w:right w:type="dxa" w:w="130"/>
            </w:tcMar>
          </w:tcPr>
          <w:p>
            <w:pPr>
              <w:spacing w:after="0" w:line="254"/>
            </w:pPr>
            <w:r>
              <w:rPr>
                <w:rFonts w:ascii="Calibri" w:cs="Calibri" w:eastAsia="Calibri" w:hAnsi="Calibri"/>
                <w:b/>
                <w:bCs/>
                <w:color w:val="1F2937"/>
                <w:sz w:val="17"/>
                <w:szCs w:val="17"/>
              </w:rPr>
              <w:t xml:space="preserve">GIR Notification</w:t>
            </w:r>
          </w:p>
        </w:tc>
        <w:tc>
          <w:tcPr>
            <w:tcW w:type="dxa" w:w="2600"/>
            <w:shd w:fill="F7F9FC" w:color="auto" w:val="clear"/>
            <w:tcMar>
              <w:top w:type="dxa" w:w="90"/>
              <w:left w:type="dxa" w:w="130"/>
              <w:bottom w:type="dxa" w:w="90"/>
              <w:right w:type="dxa" w:w="130"/>
            </w:tcMar>
          </w:tcPr>
          <w:p>
            <w:pPr>
              <w:spacing w:after="0" w:line="254"/>
            </w:pPr>
            <w:r>
              <w:rPr>
                <w:rFonts w:ascii="Calibri" w:cs="Calibri" w:eastAsia="Calibri" w:hAnsi="Calibri"/>
                <w:b w:val="false"/>
                <w:bCs w:val="false"/>
                <w:color w:val="1F2937"/>
                <w:sz w:val="17"/>
                <w:szCs w:val="17"/>
              </w:rPr>
              <w:t xml:space="preserve">Notification that the GIR is being filed by a qualifying foreign filing entity.</w:t>
            </w:r>
          </w:p>
        </w:tc>
        <w:tc>
          <w:tcPr>
            <w:tcW w:type="dxa" w:w="2400"/>
            <w:shd w:fill="F7F9FC" w:color="auto" w:val="clear"/>
            <w:tcMar>
              <w:top w:type="dxa" w:w="90"/>
              <w:left w:type="dxa" w:w="130"/>
              <w:bottom w:type="dxa" w:w="90"/>
              <w:right w:type="dxa" w:w="130"/>
            </w:tcMar>
          </w:tcPr>
          <w:p>
            <w:pPr>
              <w:spacing w:after="0" w:line="254"/>
            </w:pPr>
            <w:r>
              <w:rPr>
                <w:rFonts w:ascii="Calibri" w:cs="Calibri" w:eastAsia="Calibri" w:hAnsi="Calibri"/>
                <w:b w:val="false"/>
                <w:bCs w:val="false"/>
                <w:color w:val="1F2937"/>
                <w:sz w:val="17"/>
                <w:szCs w:val="17"/>
              </w:rPr>
              <w:t xml:space="preserve">Same rule</w:t>
            </w:r>
          </w:p>
        </w:tc>
        <w:tc>
          <w:tcPr>
            <w:tcW w:type="dxa" w:w="1826"/>
            <w:shd w:fill="F7F9FC" w:color="auto" w:val="clear"/>
            <w:tcMar>
              <w:top w:type="dxa" w:w="90"/>
              <w:left w:type="dxa" w:w="130"/>
              <w:bottom w:type="dxa" w:w="90"/>
              <w:right w:type="dxa" w:w="130"/>
            </w:tcMar>
          </w:tcPr>
          <w:p>
            <w:pPr>
              <w:spacing w:after="0" w:line="254"/>
            </w:pPr>
            <w:r>
              <w:rPr>
                <w:rFonts w:ascii="Calibri" w:cs="Calibri" w:eastAsia="Calibri" w:hAnsi="Calibri"/>
                <w:b w:val="false"/>
                <w:bCs w:val="false"/>
                <w:color w:val="1F2937"/>
                <w:sz w:val="17"/>
                <w:szCs w:val="17"/>
              </w:rPr>
              <w:t xml:space="preserve">JSON by API</w:t>
            </w:r>
          </w:p>
        </w:tc>
      </w:tr>
      <w:tr>
        <w:trPr>
          <w:cantSplit/>
        </w:trPr>
        <w:tc>
          <w:tcPr>
            <w:tcW w:type="dxa" w:w="2200"/>
            <w:shd w:fill="FFFFFF" w:color="auto" w:val="clear"/>
            <w:tcMar>
              <w:top w:type="dxa" w:w="90"/>
              <w:left w:type="dxa" w:w="130"/>
              <w:bottom w:type="dxa" w:w="90"/>
              <w:right w:type="dxa" w:w="130"/>
            </w:tcMar>
          </w:tcPr>
          <w:p>
            <w:pPr>
              <w:spacing w:after="0" w:line="254"/>
            </w:pPr>
            <w:r>
              <w:rPr>
                <w:rFonts w:ascii="Calibri" w:cs="Calibri" w:eastAsia="Calibri" w:hAnsi="Calibri"/>
                <w:b/>
                <w:bCs/>
                <w:color w:val="1F2937"/>
                <w:sz w:val="17"/>
                <w:szCs w:val="17"/>
              </w:rPr>
              <w:t xml:space="preserve">Global Minimum Tax Return</w:t>
            </w:r>
          </w:p>
        </w:tc>
        <w:tc>
          <w:tcPr>
            <w:tcW w:type="dxa" w:w="2600"/>
            <w:shd w:fill="FFFFFF" w:color="auto" w:val="clear"/>
            <w:tcMar>
              <w:top w:type="dxa" w:w="90"/>
              <w:left w:type="dxa" w:w="130"/>
              <w:bottom w:type="dxa" w:w="90"/>
              <w:right w:type="dxa" w:w="130"/>
            </w:tcMar>
          </w:tcPr>
          <w:p>
            <w:pPr>
              <w:spacing w:after="0" w:line="254"/>
            </w:pPr>
            <w:r>
              <w:rPr>
                <w:rFonts w:ascii="Calibri" w:cs="Calibri" w:eastAsia="Calibri" w:hAnsi="Calibri"/>
                <w:b w:val="false"/>
                <w:bCs w:val="false"/>
                <w:color w:val="1F2937"/>
                <w:sz w:val="17"/>
                <w:szCs w:val="17"/>
              </w:rPr>
              <w:t xml:space="preserve">The self-assessment return for liability under Part 2 or Part 3.</w:t>
            </w:r>
          </w:p>
        </w:tc>
        <w:tc>
          <w:tcPr>
            <w:tcW w:type="dxa" w:w="2400"/>
            <w:shd w:fill="FFFFFF" w:color="auto" w:val="clear"/>
            <w:tcMar>
              <w:top w:type="dxa" w:w="90"/>
              <w:left w:type="dxa" w:w="130"/>
              <w:bottom w:type="dxa" w:w="90"/>
              <w:right w:type="dxa" w:w="130"/>
            </w:tcMar>
          </w:tcPr>
          <w:p>
            <w:pPr>
              <w:spacing w:after="0" w:line="254"/>
            </w:pPr>
            <w:r>
              <w:rPr>
                <w:rFonts w:ascii="Calibri" w:cs="Calibri" w:eastAsia="Calibri" w:hAnsi="Calibri"/>
                <w:b w:val="false"/>
                <w:bCs w:val="false"/>
                <w:color w:val="1F2937"/>
                <w:sz w:val="17"/>
                <w:szCs w:val="17"/>
              </w:rPr>
              <w:t xml:space="preserve">Tied to the GIR due date</w:t>
            </w:r>
          </w:p>
        </w:tc>
        <w:tc>
          <w:tcPr>
            <w:tcW w:type="dxa" w:w="1826"/>
            <w:shd w:fill="FFFFFF" w:color="auto" w:val="clear"/>
            <w:tcMar>
              <w:top w:type="dxa" w:w="90"/>
              <w:left w:type="dxa" w:w="130"/>
              <w:bottom w:type="dxa" w:w="90"/>
              <w:right w:type="dxa" w:w="130"/>
            </w:tcMar>
          </w:tcPr>
          <w:p>
            <w:pPr>
              <w:spacing w:after="0" w:line="254"/>
            </w:pPr>
            <w:r>
              <w:rPr>
                <w:rFonts w:ascii="Calibri" w:cs="Calibri" w:eastAsia="Calibri" w:hAnsi="Calibri"/>
                <w:b w:val="false"/>
                <w:bCs w:val="false"/>
                <w:color w:val="1F2937"/>
                <w:sz w:val="17"/>
                <w:szCs w:val="17"/>
              </w:rPr>
              <w:t xml:space="preserve">JSON by API</w:t>
            </w:r>
          </w:p>
        </w:tc>
      </w:tr>
    </w:tbl>
    <w:p>
      <w:pPr>
        <w:spacing w:after="120"/>
      </w:pPr>
    </w:p>
    <w:p>
      <w:pPr>
        <w:spacing w:after="0" w:before="0" w:line="276"/>
      </w:pPr>
      <w:r>
        <w:rPr>
          <w:rFonts w:ascii="Calibri" w:cs="Calibri" w:eastAsia="Calibri" w:hAnsi="Calibri"/>
          <w:b/>
          <w:bCs/>
          <w:color w:val="1F2937"/>
          <w:sz w:val="20"/>
          <w:szCs w:val="20"/>
        </w:rPr>
        <w:t xml:space="preserve">A second clock you may not know about. </w:t>
      </w:r>
      <w:r>
        <w:rPr>
          <w:rFonts w:ascii="Calibri" w:cs="Calibri" w:eastAsia="Calibri" w:hAnsi="Calibri"/>
          <w:color w:val="1F2937"/>
          <w:sz w:val="20"/>
          <w:szCs w:val="20"/>
        </w:rPr>
        <w:t xml:space="preserve">Where the CRA notifies you that no GIR was received by the exchange date, a separate 30-day clock starts. That is a short window, triggered by someone else’s failure to file centrally, and it will not wait for your next reporting cycle.</w:t>
      </w:r>
    </w:p>
    <w:p>
      <w:pPr>
        <w:pBdr>
          <w:bottom w:val="single" w:color="D9E0EC" w:sz="6" w:space="6"/>
        </w:pBdr>
        <w:spacing w:after="120" w:before="300"/>
      </w:pPr>
      <w:r>
        <w:rPr>
          <w:rFonts w:ascii="Calibri" w:cs="Calibri" w:eastAsia="Calibri" w:hAnsi="Calibri"/>
          <w:b/>
          <w:bCs/>
          <w:color w:val="2563EB"/>
          <w:sz w:val="26"/>
          <w:szCs w:val="26"/>
        </w:rPr>
        <w:t xml:space="preserve">4  </w:t>
      </w:r>
      <w:r>
        <w:rPr>
          <w:rFonts w:ascii="Calibri" w:cs="Calibri" w:eastAsia="Calibri" w:hAnsi="Calibri"/>
          <w:b/>
          <w:bCs/>
          <w:color w:val="10203F"/>
          <w:sz w:val="26"/>
          <w:szCs w:val="26"/>
        </w:rPr>
        <w:t xml:space="preserve">Penalties, including the ones that are not financial</w:t>
      </w:r>
    </w:p>
    <w:p>
      <w:pPr>
        <w:spacing w:after="130" w:before="0" w:line="276"/>
      </w:pPr>
      <w:r>
        <w:rPr>
          <w:rFonts w:ascii="Calibri" w:cs="Calibri" w:eastAsia="Calibri" w:hAnsi="Calibri"/>
          <w:color w:val="1F2937"/>
          <w:sz w:val="20"/>
          <w:szCs w:val="20"/>
        </w:rPr>
        <w:t xml:space="preserve">Canada is unusually direct here, and it is the only jurisdiction in this series where imprisonment appears in the penalty provisions.</w:t>
      </w:r>
    </w:p>
    <w:p>
      <w:pPr>
        <w:pStyle w:val="ListParagraph"/>
        <w:numPr>
          <w:ilvl w:val="0"/>
          <w:numId w:val="2"/>
        </w:numPr>
        <w:spacing w:after="70" w:line="268"/>
      </w:pPr>
      <w:r>
        <w:rPr>
          <w:rFonts w:ascii="Calibri" w:cs="Calibri" w:eastAsia="Calibri" w:hAnsi="Calibri"/>
          <w:color w:val="1F2937"/>
          <w:sz w:val="20"/>
          <w:szCs w:val="20"/>
        </w:rPr>
        <w:t xml:space="preserve">Avoidance penalty: the lesser of 50% of the amount avoided and $100,000.</w:t>
      </w:r>
    </w:p>
    <w:p>
      <w:pPr>
        <w:pStyle w:val="ListParagraph"/>
        <w:numPr>
          <w:ilvl w:val="0"/>
          <w:numId w:val="2"/>
        </w:numPr>
        <w:spacing w:after="70" w:line="268"/>
      </w:pPr>
      <w:r>
        <w:rPr>
          <w:rFonts w:ascii="Calibri" w:cs="Calibri" w:eastAsia="Calibri" w:hAnsi="Calibri"/>
          <w:color w:val="1F2937"/>
          <w:sz w:val="20"/>
          <w:szCs w:val="20"/>
        </w:rPr>
        <w:t xml:space="preserve">General penalty: $2,500 where no other penalty is specified.</w:t>
      </w:r>
    </w:p>
    <w:p>
      <w:pPr>
        <w:pStyle w:val="ListParagraph"/>
        <w:numPr>
          <w:ilvl w:val="0"/>
          <w:numId w:val="2"/>
        </w:numPr>
        <w:spacing w:after="70" w:line="268"/>
      </w:pPr>
      <w:r>
        <w:rPr>
          <w:rFonts w:ascii="Calibri" w:cs="Calibri" w:eastAsia="Calibri" w:hAnsi="Calibri"/>
          <w:color w:val="1F2937"/>
          <w:sz w:val="20"/>
          <w:szCs w:val="20"/>
        </w:rPr>
        <w:t xml:space="preserve">Failure-to-file offences: $2,000 to $40,000, and up to 12 months imprisonment.</w:t>
      </w:r>
    </w:p>
    <w:p>
      <w:pPr>
        <w:spacing w:after="80"/>
      </w:pPr>
    </w:p>
    <w:p>
      <w:pPr>
        <w:spacing w:after="140" w:before="0" w:line="276"/>
      </w:pPr>
      <w:r>
        <w:rPr>
          <w:rFonts w:ascii="Calibri" w:cs="Calibri" w:eastAsia="Calibri" w:hAnsi="Calibri"/>
          <w:color w:val="1F2937"/>
          <w:sz w:val="20"/>
          <w:szCs w:val="20"/>
        </w:rPr>
        <w:t xml:space="preserve">Administrative failure-to-file amounts under sections 97 to 99 could not be confirmed from the primary source and are not stated here.</w:t>
      </w:r>
    </w:p>
    <w:tbl>
      <w:tblPr>
        <w:tblW w:type="dxa" w:w="9026"/>
        <w:tblBorders>
          <w:top w:val="single" w:color="B9CCF0" w:sz="2"/>
          <w:left w:val="single" w:color="B9CCF0" w:sz="18"/>
          <w:bottom w:val="single" w:color="B9CCF0" w:sz="2"/>
          <w:right w:val="single" w:color="B9CCF0" w:sz="2"/>
          <w:insideH w:val="none" w:color="FFFFFF" w:sz="0"/>
          <w:insideV w:val="none" w:color="FFFFFF" w:sz="0"/>
        </w:tblBorders>
        <w:tblLayout w:type="fixed"/>
      </w:tblPr>
      <w:tblGrid>
        <w:gridCol w:w="9026"/>
      </w:tblGrid>
      <w:tr>
        <w:tc>
          <w:tcPr>
            <w:tcW w:type="dxa" w:w="9026"/>
            <w:shd w:fill="EEF3FC" w:color="auto" w:val="clear"/>
            <w:tcMar>
              <w:top w:type="dxa" w:w="140"/>
              <w:left w:type="dxa" w:w="200"/>
              <w:bottom w:type="dxa" w:w="140"/>
              <w:right w:type="dxa" w:w="180"/>
            </w:tcMar>
          </w:tcPr>
          <w:p>
            <w:pPr>
              <w:spacing w:after="100"/>
            </w:pPr>
            <w:r>
              <w:rPr>
                <w:rFonts w:ascii="Calibri" w:cs="Calibri" w:eastAsia="Calibri" w:hAnsi="Calibri"/>
                <w:b/>
                <w:bCs/>
                <w:color w:val="5A6B87"/>
                <w:spacing w:val="30"/>
                <w:sz w:val="15"/>
                <w:szCs w:val="15"/>
              </w:rPr>
              <w:t xml:space="preserve">THE CONCESSION, AND WHEN IT ENDS</w:t>
            </w:r>
          </w:p>
          <w:p>
            <w:pPr>
              <w:spacing w:after="90" w:before="0" w:line="276"/>
            </w:pPr>
            <w:r>
              <w:rPr>
                <w:rFonts w:ascii="Calibri" w:cs="Calibri" w:eastAsia="Calibri" w:hAnsi="Calibri"/>
                <w:color w:val="1F2937"/>
                <w:sz w:val="20"/>
                <w:szCs w:val="20"/>
              </w:rPr>
              <w:t xml:space="preserve">A penalty concession runs from 1 July to 31 December 2026 where the group filed centrally and notified the CRA by 30 June 2026.</w:t>
            </w:r>
          </w:p>
          <w:p>
            <w:pPr>
              <w:spacing w:after="0" w:before="0" w:line="276"/>
            </w:pPr>
            <w:r>
              <w:rPr>
                <w:rFonts w:ascii="Calibri" w:cs="Calibri" w:eastAsia="Calibri" w:hAnsi="Calibri"/>
                <w:color w:val="1F2937"/>
                <w:sz w:val="20"/>
                <w:szCs w:val="20"/>
              </w:rPr>
              <w:t xml:space="preserve">Penalties may apply from 1 January 2027. If you relied on central filing and notified in time, that protection has roughly three months left.</w:t>
            </w:r>
          </w:p>
        </w:tc>
      </w:tr>
    </w:tbl>
    <w:p>
      <w:pPr>
        <w:pBdr>
          <w:bottom w:val="single" w:color="D9E0EC" w:sz="6" w:space="6"/>
        </w:pBdr>
        <w:spacing w:after="120" w:before="300"/>
      </w:pPr>
      <w:r>
        <w:rPr>
          <w:rFonts w:ascii="Calibri" w:cs="Calibri" w:eastAsia="Calibri" w:hAnsi="Calibri"/>
          <w:b/>
          <w:bCs/>
          <w:color w:val="2563EB"/>
          <w:sz w:val="26"/>
          <w:szCs w:val="26"/>
        </w:rPr>
        <w:t xml:space="preserve">5  </w:t>
      </w:r>
      <w:r>
        <w:rPr>
          <w:rFonts w:ascii="Calibri" w:cs="Calibri" w:eastAsia="Calibri" w:hAnsi="Calibri"/>
          <w:b/>
          <w:bCs/>
          <w:color w:val="10203F"/>
          <w:sz w:val="26"/>
          <w:szCs w:val="26"/>
        </w:rPr>
        <w:t xml:space="preserve">A ninety-day checklist</w:t>
      </w:r>
    </w:p>
    <w:p>
      <w:pPr>
        <w:spacing w:after="130" w:before="0" w:line="276"/>
      </w:pPr>
      <w:r>
        <w:rPr>
          <w:rFonts w:ascii="Calibri" w:cs="Calibri" w:eastAsia="Calibri" w:hAnsi="Calibri"/>
          <w:color w:val="1F2937"/>
          <w:sz w:val="20"/>
          <w:szCs w:val="20"/>
        </w:rPr>
        <w:t xml:space="preserve">In order. The first item is an engineering dependency, not a tax one.</w:t>
      </w:r>
    </w:p>
    <w:p>
      <w:pPr>
        <w:pStyle w:val="ListParagraph"/>
        <w:numPr>
          <w:ilvl w:val="0"/>
          <w:numId w:val="2"/>
        </w:numPr>
        <w:spacing w:after="70" w:line="268"/>
      </w:pPr>
      <w:r>
        <w:rPr>
          <w:rFonts w:ascii="Calibri" w:cs="Calibri" w:eastAsia="Calibri" w:hAnsi="Calibri"/>
          <w:color w:val="1F2937"/>
          <w:sz w:val="20"/>
          <w:szCs w:val="20"/>
        </w:rPr>
        <w:t xml:space="preserve">Establish whether you hold a CRA API token. If not, start certification testing now — it is a development cycle, not a registration.</w:t>
      </w:r>
    </w:p>
    <w:p>
      <w:pPr>
        <w:pStyle w:val="ListParagraph"/>
        <w:numPr>
          <w:ilvl w:val="0"/>
          <w:numId w:val="2"/>
        </w:numPr>
        <w:spacing w:after="70" w:line="268"/>
      </w:pPr>
      <w:r>
        <w:rPr>
          <w:rFonts w:ascii="Calibri" w:cs="Calibri" w:eastAsia="Calibri" w:hAnsi="Calibri"/>
          <w:color w:val="1F2937"/>
          <w:sz w:val="20"/>
          <w:szCs w:val="20"/>
        </w:rPr>
        <w:t xml:space="preserve">If you are using a provider, confirm their certification covers the specific schemas you need, in writing.</w:t>
      </w:r>
    </w:p>
    <w:p>
      <w:pPr>
        <w:pStyle w:val="ListParagraph"/>
        <w:numPr>
          <w:ilvl w:val="0"/>
          <w:numId w:val="2"/>
        </w:numPr>
        <w:spacing w:after="70" w:line="268"/>
      </w:pPr>
      <w:r>
        <w:rPr>
          <w:rFonts w:ascii="Calibri" w:cs="Calibri" w:eastAsia="Calibri" w:hAnsi="Calibri"/>
          <w:color w:val="1F2937"/>
          <w:sz w:val="20"/>
          <w:szCs w:val="20"/>
        </w:rPr>
        <w:t xml:space="preserve">Confirm you have a PT program account. Registration opened 20 October 2025.</w:t>
      </w:r>
    </w:p>
    <w:p>
      <w:pPr>
        <w:pStyle w:val="ListParagraph"/>
        <w:numPr>
          <w:ilvl w:val="0"/>
          <w:numId w:val="2"/>
        </w:numPr>
        <w:spacing w:after="70" w:line="268"/>
      </w:pPr>
      <w:r>
        <w:rPr>
          <w:rFonts w:ascii="Calibri" w:cs="Calibri" w:eastAsia="Calibri" w:hAnsi="Calibri"/>
          <w:color w:val="1F2937"/>
          <w:sz w:val="20"/>
          <w:szCs w:val="20"/>
        </w:rPr>
        <w:t xml:space="preserve">Diarise the transitional 30 June 2026 date if any fiscal year ended on or before 31 December 2024.</w:t>
      </w:r>
    </w:p>
    <w:p>
      <w:pPr>
        <w:pStyle w:val="ListParagraph"/>
        <w:numPr>
          <w:ilvl w:val="0"/>
          <w:numId w:val="2"/>
        </w:numPr>
        <w:spacing w:after="70" w:line="268"/>
      </w:pPr>
      <w:r>
        <w:rPr>
          <w:rFonts w:ascii="Calibri" w:cs="Calibri" w:eastAsia="Calibri" w:hAnsi="Calibri"/>
          <w:color w:val="1F2937"/>
          <w:sz w:val="20"/>
          <w:szCs w:val="20"/>
        </w:rPr>
        <w:t xml:space="preserve">Build the 24-hour acceptance lag into your timeline. Submitting on the due date leaves no room to fix a rejection.</w:t>
      </w:r>
    </w:p>
    <w:p>
      <w:pPr>
        <w:pStyle w:val="ListParagraph"/>
        <w:numPr>
          <w:ilvl w:val="0"/>
          <w:numId w:val="2"/>
        </w:numPr>
        <w:spacing w:after="70" w:line="268"/>
      </w:pPr>
      <w:r>
        <w:rPr>
          <w:rFonts w:ascii="Calibri" w:cs="Calibri" w:eastAsia="Calibri" w:hAnsi="Calibri"/>
          <w:color w:val="1F2937"/>
          <w:sz w:val="20"/>
          <w:szCs w:val="20"/>
        </w:rPr>
        <w:t xml:space="preserve">Check whether you notified the CRA by 30 June 2026 under central filing. If you did, the concession covers you to 31 December 2026 and no further.</w:t>
      </w:r>
    </w:p>
    <w:p>
      <w:pPr>
        <w:pStyle w:val="ListParagraph"/>
        <w:numPr>
          <w:ilvl w:val="0"/>
          <w:numId w:val="2"/>
        </w:numPr>
        <w:spacing w:after="70" w:line="268"/>
      </w:pPr>
      <w:r>
        <w:rPr>
          <w:rFonts w:ascii="Calibri" w:cs="Calibri" w:eastAsia="Calibri" w:hAnsi="Calibri"/>
          <w:color w:val="1F2937"/>
          <w:sz w:val="20"/>
          <w:szCs w:val="20"/>
        </w:rPr>
        <w:t xml:space="preserve">Re-check the UTPR position before you state it. It was in committee as at 3 October 2026 and will not stay there.</w:t>
      </w:r>
    </w:p>
    <w:p>
      <w:pPr>
        <w:pBdr>
          <w:bottom w:val="single" w:color="D9E0EC" w:sz="6" w:space="6"/>
        </w:pBdr>
        <w:spacing w:after="120" w:before="300"/>
      </w:pPr>
      <w:r>
        <w:rPr>
          <w:rFonts w:ascii="Calibri" w:cs="Calibri" w:eastAsia="Calibri" w:hAnsi="Calibri"/>
          <w:b/>
          <w:bCs/>
          <w:color w:val="2563EB"/>
          <w:sz w:val="26"/>
          <w:szCs w:val="26"/>
        </w:rPr>
        <w:t xml:space="preserve">6  </w:t>
      </w:r>
      <w:r>
        <w:rPr>
          <w:rFonts w:ascii="Calibri" w:cs="Calibri" w:eastAsia="Calibri" w:hAnsi="Calibri"/>
          <w:b/>
          <w:bCs/>
          <w:color w:val="10203F"/>
          <w:sz w:val="26"/>
          <w:szCs w:val="26"/>
        </w:rPr>
        <w:t xml:space="preserve">Where every statement above comes from</w:t>
      </w:r>
    </w:p>
    <w:p>
      <w:pPr>
        <w:spacing w:after="140" w:before="0" w:line="276"/>
      </w:pPr>
      <w:r>
        <w:rPr>
          <w:rFonts w:ascii="Calibri" w:cs="Calibri" w:eastAsia="Calibri" w:hAnsi="Calibri"/>
          <w:color w:val="1F2937"/>
          <w:sz w:val="20"/>
          <w:szCs w:val="20"/>
        </w:rPr>
        <w:t xml:space="preserve">Checked against CRA pages and the Parliament of Canada bill record on 3 October 2026. Administrative penalty amounts that could not be read from the primary source are left out rather than filled in.</w:t>
      </w:r>
    </w:p>
    <w:p>
      <w:pPr>
        <w:pStyle w:val="ListParagraph"/>
        <w:numPr>
          <w:ilvl w:val="0"/>
          <w:numId w:val="2"/>
        </w:numPr>
        <w:spacing w:after="70" w:line="268"/>
      </w:pPr>
      <w:r>
        <w:rPr>
          <w:rFonts w:ascii="Calibri" w:cs="Calibri" w:eastAsia="Calibri" w:hAnsi="Calibri"/>
          <w:color w:val="1F2937"/>
          <w:sz w:val="20"/>
          <w:szCs w:val="20"/>
        </w:rPr>
        <w:t xml:space="preserve">Get ready to file — Canada Revenue Agency</w:t>
      </w:r>
    </w:p>
    <w:p>
      <w:pPr>
        <w:pStyle w:val="ListParagraph"/>
        <w:numPr>
          <w:ilvl w:val="0"/>
          <w:numId w:val="2"/>
        </w:numPr>
        <w:spacing w:after="70" w:line="268"/>
      </w:pPr>
      <w:r>
        <w:rPr>
          <w:rFonts w:ascii="Calibri" w:cs="Calibri" w:eastAsia="Calibri" w:hAnsi="Calibri"/>
          <w:color w:val="1F2937"/>
          <w:sz w:val="20"/>
          <w:szCs w:val="20"/>
        </w:rPr>
        <w:t xml:space="preserve">Who must file — Canada Revenue Agency</w:t>
      </w:r>
    </w:p>
    <w:p>
      <w:pPr>
        <w:pStyle w:val="ListParagraph"/>
        <w:numPr>
          <w:ilvl w:val="0"/>
          <w:numId w:val="2"/>
        </w:numPr>
        <w:spacing w:after="70" w:line="268"/>
      </w:pPr>
      <w:r>
        <w:rPr>
          <w:rFonts w:ascii="Calibri" w:cs="Calibri" w:eastAsia="Calibri" w:hAnsi="Calibri"/>
          <w:color w:val="1F2937"/>
          <w:sz w:val="20"/>
          <w:szCs w:val="20"/>
        </w:rPr>
        <w:t xml:space="preserve">Bill C-31 record — Parliament of Canada</w:t>
      </w:r>
    </w:p>
    <w:p>
      <w:pPr>
        <w:spacing w:after="120"/>
      </w:pPr>
    </w:p>
    <w:p>
      <w:pPr>
        <w:spacing w:after="160" w:before="0" w:line="276"/>
      </w:pPr>
      <w:r>
        <w:rPr>
          <w:rFonts w:ascii="Calibri" w:cs="Calibri" w:eastAsia="Calibri" w:hAnsi="Calibri"/>
          <w:b/>
          <w:bCs/>
          <w:color w:val="1F2937"/>
          <w:sz w:val="20"/>
          <w:szCs w:val="20"/>
        </w:rPr>
        <w:t xml:space="preserve">Live, dated and linked: </w:t>
      </w:r>
      <w:r>
        <w:rPr>
          <w:rFonts w:ascii="Calibri" w:cs="Calibri" w:eastAsia="Calibri" w:hAnsi="Calibri"/>
          <w:color w:val="1F2937"/>
          <w:sz w:val="20"/>
          <w:szCs w:val="20"/>
        </w:rPr>
        <w:t xml:space="preserve">every row behind this sheet sits in the obligation tracker at saurabhsatija.com/tracker, with a link to the CRA page it came from and the date it was last checked. The UTPR position is recorded in the change log as it moves.</w:t>
      </w:r>
    </w:p>
    <w:p>
      <w:pPr>
        <w:pBdr>
          <w:top w:val="single" w:color="D9E0EC" w:sz="6" w:space="10"/>
        </w:pBdr>
        <w:spacing w:after="0" w:before="120"/>
      </w:pPr>
      <w:r>
        <w:rPr>
          <w:rFonts w:ascii="Calibri" w:cs="Calibri" w:eastAsia="Calibri" w:hAnsi="Calibri"/>
          <w:i/>
          <w:iCs/>
          <w:color w:val="5A6B87"/>
          <w:sz w:val="15"/>
          <w:szCs w:val="15"/>
        </w:rPr>
        <w:t xml:space="preserve">Saurabh Satija — VP Sales, UK &amp; Ireland and Global Head, BEPS &amp; Pillar Two, DataTracks, London. This is a scoping aid, not tax advice, and not my employer’s view. Verify against the CRA before you file. © 2026 Saurabh Satija.</w:t>
      </w:r>
    </w:p>
    <w:sectPr>
      <w:pgSz w:w="11906" w:h="16838" w:orient="portrait"/>
      <w:pgMar w:top="1296" w:right="1440" w:bottom="1296"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00"/>
      </w:pPr>
    </w:lvl>
    <w:lvl w:ilvl="1" w:tentative="1">
      <w:start w:val="1"/>
      <w:numFmt w:val="bullet"/>
      <w:lvlText w:val="–"/>
      <w:lvlJc w:val="left"/>
      <w:pPr>
        <w:ind w:left="720" w:hanging="2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Filing Pillar Two in Canada — readiness cheat sheet</dc:title>
  <dc:creator>Saurabh Satija</dc:creator>
  <dc:description>API-only filing, mandatory certification testing before a token is issued, and a UTPR still before Parliament.</dc:description>
  <cp:lastModifiedBy>Un-named</cp:lastModifiedBy>
  <cp:revision>1</cp:revision>
  <dcterms:created xsi:type="dcterms:W3CDTF">2026-10-08T08:06:21.408Z</dcterms:created>
  <dcterms:modified xsi:type="dcterms:W3CDTF">2026-10-08T08:06:21.409Z</dcterms:modified>
</cp:coreProperties>
</file>

<file path=docProps/custom.xml><?xml version="1.0" encoding="utf-8"?>
<Properties xmlns="http://schemas.openxmlformats.org/officeDocument/2006/custom-properties" xmlns:vt="http://schemas.openxmlformats.org/officeDocument/2006/docPropsVTypes"/>
</file>