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5A6B87"/>
          <w:spacing w:val="30"/>
          <w:sz w:val="15"/>
          <w:szCs w:val="15"/>
        </w:rPr>
        <w:t xml:space="preserve">AUSTRALIA · FILING READINESS CHEAT SHEET · OCTOBER 2026</w:t>
      </w:r>
    </w:p>
    <w:p>
      <w:pPr>
        <w:spacing w:after="60" w:before="0"/>
      </w:pPr>
      <w:r>
        <w:rPr>
          <w:rFonts w:ascii="Calibri" w:cs="Calibri" w:eastAsia="Calibri" w:hAnsi="Calibri"/>
          <w:b/>
          <w:bCs/>
          <w:color w:val="10203F"/>
          <w:sz w:val="40"/>
          <w:szCs w:val="40"/>
        </w:rPr>
        <w:t xml:space="preserve">Filing Pillar Two in Australia</w:t>
      </w:r>
    </w:p>
    <w:p>
      <w:pPr>
        <w:spacing w:after="160" w:before="0" w:line="276"/>
      </w:pPr>
      <w:r>
        <w:rPr>
          <w:rFonts w:ascii="Calibri" w:cs="Calibri" w:eastAsia="Calibri" w:hAnsi="Calibri"/>
          <w:b/>
          <w:bCs/>
          <w:color w:val="10203F"/>
          <w:sz w:val="23"/>
          <w:szCs w:val="23"/>
        </w:rPr>
        <w:t xml:space="preserve">Four obligations, two channels, and a twenty-entity ceiling that quietly disqualifies most large groups from the obvious filing route.</w:t>
      </w:r>
    </w:p>
    <w:p>
      <w:pPr>
        <w:spacing w:after="200" w:before="0" w:line="276"/>
      </w:pPr>
      <w:r>
        <w:rPr>
          <w:rFonts w:ascii="Calibri" w:cs="Calibri" w:eastAsia="Calibri" w:hAnsi="Calibri"/>
          <w:color w:val="1F2937"/>
          <w:sz w:val="20"/>
          <w:szCs w:val="20"/>
        </w:rPr>
        <w:t xml:space="preserve">Australia publishes its rules clearly and its deadlines are generous. What it does not advertise is that the route most groups assume they will use has a hard size limit, that the extension everyone relies on does not cover the return that matters most, and that none of the vocabulary you have learned elsewhere applies here. All three are discoverable in advance. All three are routinely discovered late.</w:t>
      </w:r>
    </w:p>
    <w:tbl>
      <w:tblPr>
        <w:tblW w:type="dxa" w:w="9026"/>
        <w:tblBorders>
          <w:top w:val="single" w:color="E8B384" w:sz="2"/>
          <w:left w:val="single" w:color="E8B384" w:sz="18"/>
          <w:bottom w:val="single" w:color="E8B384" w:sz="2"/>
          <w:right w:val="single" w:color="E8B384" w:sz="2"/>
          <w:insideH w:val="none" w:color="FFFFFF" w:sz="0"/>
          <w:insideV w:val="none" w:color="FFFFFF" w:sz="0"/>
        </w:tblBorders>
        <w:tblLayout w:type="fixed"/>
      </w:tblPr>
      <w:tblGrid>
        <w:gridCol w:w="9026"/>
      </w:tblGrid>
      <w:tr>
        <w:tc>
          <w:tcPr>
            <w:tcW w:type="dxa" w:w="9026"/>
            <w:shd w:fill="FDF3E7"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START HERE, IF YOU READ NOTHING ELSE</w:t>
            </w:r>
          </w:p>
          <w:p>
            <w:pPr>
              <w:spacing w:after="90" w:before="0" w:line="276"/>
            </w:pPr>
            <w:r>
              <w:rPr>
                <w:rFonts w:ascii="Calibri" w:cs="Calibri" w:eastAsia="Calibri" w:hAnsi="Calibri"/>
                <w:color w:val="1F2937"/>
                <w:sz w:val="20"/>
                <w:szCs w:val="20"/>
              </w:rPr>
              <w:t xml:space="preserve">The ATO online form caps a designated local entity at 20 entities including itself. If your Australian group has more than 20 entities, the online form is closed to you and you need an API-enabled solution, which supports up to 300. Finding this out in month seventeen of an eighteen-month window is not a recoverable position.</w:t>
            </w:r>
          </w:p>
          <w:p>
            <w:pPr>
              <w:spacing w:after="0" w:before="0" w:line="276"/>
            </w:pPr>
            <w:r>
              <w:rPr>
                <w:rFonts w:ascii="Calibri" w:cs="Calibri" w:eastAsia="Calibri" w:hAnsi="Calibri"/>
                <w:color w:val="1F2937"/>
                <w:sz w:val="20"/>
                <w:szCs w:val="20"/>
              </w:rPr>
              <w:t xml:space="preserve">The 30-day automatic deferral covers the Australian IIR/UTPR return and the domestic minimum tax return only. The GloBE Information Return and the foreign lodgment notification cannot be deferred at all.</w:t>
            </w:r>
          </w:p>
        </w:tc>
      </w:tr>
    </w:tbl>
    <w:p>
      <w:pPr>
        <w:pBdr>
          <w:bottom w:val="single" w:color="D9E0EC" w:sz="6" w:space="6"/>
        </w:pBdr>
        <w:spacing w:after="120" w:before="300"/>
      </w:pPr>
      <w:r>
        <w:rPr>
          <w:rFonts w:ascii="Calibri" w:cs="Calibri" w:eastAsia="Calibri" w:hAnsi="Calibri"/>
          <w:b/>
          <w:bCs/>
          <w:color w:val="2563EB"/>
          <w:sz w:val="26"/>
          <w:szCs w:val="26"/>
        </w:rPr>
        <w:t xml:space="preserve">1  </w:t>
      </w:r>
      <w:r>
        <w:rPr>
          <w:rFonts w:ascii="Calibri" w:cs="Calibri" w:eastAsia="Calibri" w:hAnsi="Calibri"/>
          <w:b/>
          <w:bCs/>
          <w:color w:val="10203F"/>
          <w:sz w:val="26"/>
          <w:szCs w:val="26"/>
        </w:rPr>
        <w:t xml:space="preserve">First, forget the vocabulary you learned in Europe</w:t>
      </w:r>
    </w:p>
    <w:p>
      <w:pPr>
        <w:spacing w:after="150" w:before="0" w:line="276"/>
      </w:pPr>
      <w:r>
        <w:rPr>
          <w:rFonts w:ascii="Calibri" w:cs="Calibri" w:eastAsia="Calibri" w:hAnsi="Calibri"/>
          <w:color w:val="1F2937"/>
          <w:sz w:val="20"/>
          <w:szCs w:val="20"/>
        </w:rPr>
        <w:t xml:space="preserve">Australia does not use the terms the rest of the Pillar Two world uses, and this is not a cosmetic difference — it is why search, internal checklists and group-level trackers miss Australian obligations entirely.</w:t>
      </w:r>
    </w:p>
    <w:tbl>
      <w:tblPr>
        <w:tblW w:type="dxa" w:w="9026"/>
        <w:tblBorders>
          <w:top w:val="single" w:color="D9E0EC" w:sz="2"/>
          <w:left w:val="none" w:color="FFFFFF" w:sz="0"/>
          <w:bottom w:val="single" w:color="D9E0EC" w:sz="2"/>
          <w:right w:val="none" w:color="FFFFFF" w:sz="0"/>
          <w:insideH w:val="single" w:color="D9E0EC" w:sz="2"/>
          <w:insideV w:val="single" w:color="D9E0EC" w:sz="2"/>
        </w:tblBorders>
        <w:tblLayout w:type="fixed"/>
      </w:tblPr>
      <w:tblGrid>
        <w:gridCol w:w="2500"/>
        <w:gridCol w:w="2600"/>
        <w:gridCol w:w="3926"/>
      </w:tblGrid>
      <w:tr>
        <w:trPr>
          <w:cantSplit/>
          <w:tblHeader/>
        </w:trPr>
        <w:tc>
          <w:tcPr>
            <w:tcW w:type="dxa" w:w="25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What you probably call it</w:t>
            </w:r>
          </w:p>
        </w:tc>
        <w:tc>
          <w:tcPr>
            <w:tcW w:type="dxa" w:w="26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What Australia calls it</w:t>
            </w:r>
          </w:p>
        </w:tc>
        <w:tc>
          <w:tcPr>
            <w:tcW w:type="dxa" w:w="3926"/>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Why it matters</w:t>
            </w:r>
          </w:p>
        </w:tc>
      </w:tr>
      <w:tr>
        <w:trPr>
          <w:cantSplit/>
        </w:trPr>
        <w:tc>
          <w:tcPr>
            <w:tcW w:type="dxa" w:w="25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QDMTT</w:t>
            </w:r>
          </w:p>
        </w:tc>
        <w:tc>
          <w:tcPr>
            <w:tcW w:type="dxa" w:w="26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Domestic minimum tax (DMT)</w:t>
            </w:r>
          </w:p>
        </w:tc>
        <w:tc>
          <w:tcPr>
            <w:tcW w:type="dxa" w:w="392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Searching ATO guidance for "QDMTT" returns nothing useful. The obligation exists; the label does not.</w:t>
            </w:r>
          </w:p>
        </w:tc>
      </w:tr>
      <w:tr>
        <w:trPr>
          <w:cantSplit/>
        </w:trPr>
        <w:tc>
          <w:tcPr>
            <w:tcW w:type="dxa" w:w="2500"/>
            <w:shd w:fill="F7F9FC"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ORN / notification of filer</w:t>
            </w:r>
          </w:p>
        </w:tc>
        <w:tc>
          <w:tcPr>
            <w:tcW w:type="dxa" w:w="2600"/>
            <w:shd w:fill="F7F9FC"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Foreign lodgment notification</w:t>
            </w:r>
          </w:p>
        </w:tc>
        <w:tc>
          <w:tcPr>
            <w:tcW w:type="dxa" w:w="3926"/>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It is not a standalone form. It is lodged inside the combined return, and it is one of the two things that cannot be deferred.</w:t>
            </w:r>
          </w:p>
        </w:tc>
      </w:tr>
      <w:tr>
        <w:trPr>
          <w:cantSplit/>
        </w:trPr>
        <w:tc>
          <w:tcPr>
            <w:tcW w:type="dxa" w:w="25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Separate returns per charge</w:t>
            </w:r>
          </w:p>
        </w:tc>
        <w:tc>
          <w:tcPr>
            <w:tcW w:type="dxa" w:w="26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One combined return (CGDMTR)</w:t>
            </w:r>
          </w:p>
        </w:tc>
        <w:tc>
          <w:tcPr>
            <w:tcW w:type="dxa" w:w="392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The foreign lodgment notification, the Australian IIR/UTPR return and the domestic minimum tax return all sit in one form.</w:t>
            </w:r>
          </w:p>
        </w:tc>
      </w:tr>
    </w:tbl>
    <w:p>
      <w:pPr>
        <w:spacing w:after="120"/>
      </w:pPr>
    </w:p>
    <w:p>
      <w:pPr>
        <w:spacing w:after="0" w:before="0" w:line="276"/>
      </w:pPr>
      <w:r>
        <w:rPr>
          <w:rFonts w:ascii="Calibri" w:cs="Calibri" w:eastAsia="Calibri" w:hAnsi="Calibri"/>
          <w:b/>
          <w:bCs/>
          <w:color w:val="1F2937"/>
          <w:sz w:val="20"/>
          <w:szCs w:val="20"/>
        </w:rPr>
        <w:t xml:space="preserve">The practical consequence: </w:t>
      </w:r>
      <w:r>
        <w:rPr>
          <w:rFonts w:ascii="Calibri" w:cs="Calibri" w:eastAsia="Calibri" w:hAnsi="Calibri"/>
          <w:color w:val="1F2937"/>
          <w:sz w:val="20"/>
          <w:szCs w:val="20"/>
        </w:rPr>
        <w:t xml:space="preserve">a group tracker built around QDMTT and ORN will show Australia as having no notification obligation and no domestic charge. It has both.</w:t>
      </w:r>
    </w:p>
    <w:p>
      <w:pPr>
        <w:pBdr>
          <w:bottom w:val="single" w:color="D9E0EC" w:sz="6" w:space="6"/>
        </w:pBdr>
        <w:spacing w:after="120" w:before="300"/>
      </w:pPr>
      <w:r>
        <w:rPr>
          <w:rFonts w:ascii="Calibri" w:cs="Calibri" w:eastAsia="Calibri" w:hAnsi="Calibri"/>
          <w:b/>
          <w:bCs/>
          <w:color w:val="2563EB"/>
          <w:sz w:val="26"/>
          <w:szCs w:val="26"/>
        </w:rPr>
        <w:t xml:space="preserve">2  </w:t>
      </w:r>
      <w:r>
        <w:rPr>
          <w:rFonts w:ascii="Calibri" w:cs="Calibri" w:eastAsia="Calibri" w:hAnsi="Calibri"/>
          <w:b/>
          <w:bCs/>
          <w:color w:val="10203F"/>
          <w:sz w:val="26"/>
          <w:szCs w:val="26"/>
        </w:rPr>
        <w:t xml:space="preserve">What Australia actually asks for</w:t>
      </w:r>
    </w:p>
    <w:p>
      <w:pPr>
        <w:spacing w:after="150" w:before="0" w:line="276"/>
      </w:pPr>
      <w:r>
        <w:rPr>
          <w:rFonts w:ascii="Calibri" w:cs="Calibri" w:eastAsia="Calibri" w:hAnsi="Calibri"/>
          <w:color w:val="1F2937"/>
          <w:sz w:val="20"/>
          <w:szCs w:val="20"/>
        </w:rPr>
        <w:t xml:space="preserve">Two submissions, one of which carries three things inside it. Both are due on the same day, and for the combined return the payment falls on that day too — this is not a file-now-pay-later regime.</w:t>
      </w:r>
    </w:p>
    <w:tbl>
      <w:tblPr>
        <w:tblW w:type="dxa" w:w="9026"/>
        <w:tblBorders>
          <w:top w:val="single" w:color="D9E0EC" w:sz="2"/>
          <w:left w:val="none" w:color="FFFFFF" w:sz="0"/>
          <w:bottom w:val="single" w:color="D9E0EC" w:sz="2"/>
          <w:right w:val="none" w:color="FFFFFF" w:sz="0"/>
          <w:insideH w:val="single" w:color="D9E0EC" w:sz="2"/>
          <w:insideV w:val="single" w:color="D9E0EC" w:sz="2"/>
        </w:tblBorders>
        <w:tblLayout w:type="fixed"/>
      </w:tblPr>
      <w:tblGrid>
        <w:gridCol w:w="2450"/>
        <w:gridCol w:w="2900"/>
        <w:gridCol w:w="1900"/>
        <w:gridCol w:w="1776"/>
      </w:tblGrid>
      <w:tr>
        <w:trPr>
          <w:cantSplit/>
          <w:tblHeader/>
        </w:trPr>
        <w:tc>
          <w:tcPr>
            <w:tcW w:type="dxa" w:w="245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Submission</w:t>
            </w:r>
          </w:p>
        </w:tc>
        <w:tc>
          <w:tcPr>
            <w:tcW w:type="dxa" w:w="29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What it is</w:t>
            </w:r>
          </w:p>
        </w:tc>
        <w:tc>
          <w:tcPr>
            <w:tcW w:type="dxa" w:w="19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When it is due</w:t>
            </w:r>
          </w:p>
        </w:tc>
        <w:tc>
          <w:tcPr>
            <w:tcW w:type="dxa" w:w="1776"/>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Channel</w:t>
            </w:r>
          </w:p>
        </w:tc>
      </w:tr>
      <w:tr>
        <w:trPr>
          <w:cantSplit/>
        </w:trPr>
        <w:tc>
          <w:tcPr>
            <w:tcW w:type="dxa" w:w="2450"/>
            <w:shd w:fill="FFFFFF" w:color="auto" w:val="clear"/>
            <w:tcMar>
              <w:top w:type="dxa" w:w="90"/>
              <w:left w:type="dxa" w:w="130"/>
              <w:bottom w:type="dxa" w:w="90"/>
              <w:right w:type="dxa" w:w="130"/>
            </w:tcMar>
          </w:tcPr>
          <w:p>
            <w:pPr>
              <w:spacing w:after="60" w:line="254"/>
            </w:pPr>
            <w:r>
              <w:rPr>
                <w:rFonts w:ascii="Calibri" w:cs="Calibri" w:eastAsia="Calibri" w:hAnsi="Calibri"/>
                <w:b/>
                <w:bCs/>
                <w:color w:val="1F2937"/>
                <w:sz w:val="17"/>
                <w:szCs w:val="17"/>
              </w:rPr>
              <w:t xml:space="preserve">GloBE Information Return</w:t>
            </w:r>
          </w:p>
          <w:p>
            <w:pPr>
              <w:spacing w:after="0" w:line="254"/>
            </w:pPr>
            <w:r>
              <w:rPr>
                <w:rFonts w:ascii="Calibri" w:cs="Calibri" w:eastAsia="Calibri" w:hAnsi="Calibri"/>
                <w:b w:val="false"/>
                <w:bCs w:val="false"/>
                <w:color w:val="1F2937"/>
                <w:sz w:val="17"/>
                <w:szCs w:val="17"/>
              </w:rPr>
              <w:t xml:space="preserve">(GIR)</w:t>
            </w:r>
          </w:p>
        </w:tc>
        <w:tc>
          <w:tcPr>
            <w:tcW w:type="dxa" w:w="29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A single information return with a general section and jurisdictional sections.</w:t>
            </w:r>
          </w:p>
        </w:tc>
        <w:tc>
          <w:tcPr>
            <w:tcW w:type="dxa" w:w="19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18 months after your first fiscal year; 15 months thereafter.</w:t>
            </w:r>
          </w:p>
        </w:tc>
        <w:tc>
          <w:tcPr>
            <w:tcW w:type="dxa" w:w="177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XML through Online services for business or for agents, by file transfer</w:t>
            </w:r>
          </w:p>
        </w:tc>
      </w:tr>
      <w:tr>
        <w:trPr>
          <w:cantSplit/>
        </w:trPr>
        <w:tc>
          <w:tcPr>
            <w:tcW w:type="dxa" w:w="2450"/>
            <w:shd w:fill="F7F9FC" w:color="auto" w:val="clear"/>
            <w:tcMar>
              <w:top w:type="dxa" w:w="90"/>
              <w:left w:type="dxa" w:w="130"/>
              <w:bottom w:type="dxa" w:w="90"/>
              <w:right w:type="dxa" w:w="130"/>
            </w:tcMar>
          </w:tcPr>
          <w:p>
            <w:pPr>
              <w:spacing w:after="60" w:line="254"/>
            </w:pPr>
            <w:r>
              <w:rPr>
                <w:rFonts w:ascii="Calibri" w:cs="Calibri" w:eastAsia="Calibri" w:hAnsi="Calibri"/>
                <w:b/>
                <w:bCs/>
                <w:color w:val="1F2937"/>
                <w:sz w:val="17"/>
                <w:szCs w:val="17"/>
              </w:rPr>
              <w:t xml:space="preserve">Combined Global and Domestic Minimum Tax Return</w:t>
            </w:r>
          </w:p>
          <w:p>
            <w:pPr>
              <w:spacing w:after="0" w:line="254"/>
            </w:pPr>
            <w:r>
              <w:rPr>
                <w:rFonts w:ascii="Calibri" w:cs="Calibri" w:eastAsia="Calibri" w:hAnsi="Calibri"/>
                <w:b w:val="false"/>
                <w:bCs w:val="false"/>
                <w:color w:val="1F2937"/>
                <w:sz w:val="17"/>
                <w:szCs w:val="17"/>
              </w:rPr>
              <w:t xml:space="preserve">(CGDMTR)</w:t>
            </w:r>
          </w:p>
        </w:tc>
        <w:tc>
          <w:tcPr>
            <w:tcW w:type="dxa" w:w="290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One form carrying three things: the foreign lodgment notification, the Australian IIR/UTPR return and the domestic minimum tax return.</w:t>
            </w:r>
          </w:p>
        </w:tc>
        <w:tc>
          <w:tcPr>
            <w:tcW w:type="dxa" w:w="190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Same dates as the GIR. Payment is due on the same day.</w:t>
            </w:r>
          </w:p>
        </w:tc>
        <w:tc>
          <w:tcPr>
            <w:tcW w:type="dxa" w:w="1776"/>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Online services, or API-enabled software. Online form caps a DLE at 20 entities; API supports 300.</w:t>
            </w:r>
          </w:p>
        </w:tc>
      </w:tr>
    </w:tbl>
    <w:p>
      <w:pPr>
        <w:spacing w:after="120"/>
      </w:pPr>
    </w:p>
    <w:p>
      <w:pPr>
        <w:spacing w:after="0" w:before="0" w:line="276"/>
      </w:pPr>
      <w:r>
        <w:rPr>
          <w:rFonts w:ascii="Calibri" w:cs="Calibri" w:eastAsia="Calibri" w:hAnsi="Calibri"/>
          <w:b/>
          <w:bCs/>
          <w:color w:val="1F2937"/>
          <w:sz w:val="20"/>
          <w:szCs w:val="20"/>
        </w:rPr>
        <w:t xml:space="preserve">Nil amounts still lodge. </w:t>
      </w:r>
      <w:r>
        <w:rPr>
          <w:rFonts w:ascii="Calibri" w:cs="Calibri" w:eastAsia="Calibri" w:hAnsi="Calibri"/>
          <w:color w:val="1F2937"/>
          <w:sz w:val="20"/>
          <w:szCs w:val="20"/>
        </w:rPr>
        <w:t xml:space="preserve">Each group entity with a lodgment obligation must lodge the CGDMTR including where the amount is nil, unless specifically exempt. A designated local entity may lodge for all of them — which is where the 20-entity ceiling becomes the binding constraint.</w:t>
      </w:r>
    </w:p>
    <w:p>
      <w:pPr>
        <w:pBdr>
          <w:bottom w:val="single" w:color="D9E0EC" w:sz="6" w:space="6"/>
        </w:pBdr>
        <w:spacing w:after="120" w:before="300"/>
      </w:pPr>
      <w:r>
        <w:rPr>
          <w:rFonts w:ascii="Calibri" w:cs="Calibri" w:eastAsia="Calibri" w:hAnsi="Calibri"/>
          <w:b/>
          <w:bCs/>
          <w:color w:val="2563EB"/>
          <w:sz w:val="26"/>
          <w:szCs w:val="26"/>
        </w:rPr>
        <w:t xml:space="preserve">3  </w:t>
      </w:r>
      <w:r>
        <w:rPr>
          <w:rFonts w:ascii="Calibri" w:cs="Calibri" w:eastAsia="Calibri" w:hAnsi="Calibri"/>
          <w:b/>
          <w:bCs/>
          <w:color w:val="10203F"/>
          <w:sz w:val="26"/>
          <w:szCs w:val="26"/>
        </w:rPr>
        <w:t xml:space="preserve">The access layer, and the ceiling inside it</w:t>
      </w:r>
    </w:p>
    <w:p>
      <w:pPr>
        <w:spacing w:after="150" w:before="0" w:line="276"/>
      </w:pPr>
      <w:r>
        <w:rPr>
          <w:rFonts w:ascii="Calibri" w:cs="Calibri" w:eastAsia="Calibri" w:hAnsi="Calibri"/>
          <w:color w:val="1F2937"/>
          <w:sz w:val="20"/>
          <w:szCs w:val="20"/>
        </w:rPr>
        <w:t xml:space="preserve">Australia has no six-to-eight-week registration queue of the German kind. Its access problem is a different shape: the account appears automatically, but only once it is arguably too late to be useful, and the channel you end up in is decided by a headcount you may not have checked.</w:t>
      </w:r>
    </w:p>
    <w:p>
      <w:pPr>
        <w:spacing w:after="70" w:before="190"/>
      </w:pPr>
      <w:r>
        <w:rPr>
          <w:rFonts w:ascii="Calibri" w:cs="Calibri" w:eastAsia="Calibri" w:hAnsi="Calibri"/>
          <w:b/>
          <w:bCs/>
          <w:color w:val="10203F"/>
          <w:sz w:val="21"/>
          <w:szCs w:val="21"/>
        </w:rPr>
        <w:t xml:space="preserve">The GDMT account</w:t>
      </w:r>
    </w:p>
    <w:p>
      <w:pPr>
        <w:spacing w:after="130" w:before="0" w:line="276"/>
      </w:pPr>
      <w:r>
        <w:rPr>
          <w:rFonts w:ascii="Calibri" w:cs="Calibri" w:eastAsia="Calibri" w:hAnsi="Calibri"/>
          <w:color w:val="1F2937"/>
          <w:sz w:val="20"/>
          <w:szCs w:val="20"/>
        </w:rPr>
        <w:t xml:space="preserve">A GDMT account is created automatically on your first CGDMTR lodgment. It can also be requested earlier, and in one situation you must request it earlier: nominating a tax agent who is not already linked to you requires the account to exist first. Note the ATO does not publish a lead time for this, so build contingency rather than a plan.</w:t>
      </w:r>
    </w:p>
    <w:p>
      <w:pPr>
        <w:spacing w:after="130" w:before="0" w:line="276"/>
      </w:pPr>
      <w:r>
        <w:rPr>
          <w:rFonts w:ascii="Calibri" w:cs="Calibri" w:eastAsia="Calibri" w:hAnsi="Calibri"/>
          <w:color w:val="1F2937"/>
          <w:sz w:val="20"/>
          <w:szCs w:val="20"/>
        </w:rPr>
        <w:t xml:space="preserve">Where your agent already holds client-level income tax access, no GDMT account is needed at all. Check which of those two positions you are in before assuming either.</w:t>
      </w:r>
    </w:p>
    <w:p>
      <w:pPr>
        <w:spacing w:after="70" w:before="190"/>
      </w:pPr>
      <w:r>
        <w:rPr>
          <w:rFonts w:ascii="Calibri" w:cs="Calibri" w:eastAsia="Calibri" w:hAnsi="Calibri"/>
          <w:b/>
          <w:bCs/>
          <w:color w:val="10203F"/>
          <w:sz w:val="21"/>
          <w:szCs w:val="21"/>
        </w:rPr>
        <w:t xml:space="preserve">The 28-day agent window</w:t>
      </w:r>
    </w:p>
    <w:p>
      <w:pPr>
        <w:spacing w:after="130" w:before="0" w:line="276"/>
      </w:pPr>
      <w:r>
        <w:rPr>
          <w:rFonts w:ascii="Calibri" w:cs="Calibri" w:eastAsia="Calibri" w:hAnsi="Calibri"/>
          <w:color w:val="1F2937"/>
          <w:sz w:val="20"/>
          <w:szCs w:val="20"/>
        </w:rPr>
        <w:t xml:space="preserve">Once you nominate an agent, they have 28 days to add you as a client. Miss that window and the nomination has to be made again — a fortnight lost for an administrative reason, at a point in the cycle where you may not have a fortnight.</w:t>
      </w:r>
    </w:p>
    <w:p>
      <w:pPr>
        <w:spacing w:after="70" w:before="190"/>
      </w:pPr>
      <w:r>
        <w:rPr>
          <w:rFonts w:ascii="Calibri" w:cs="Calibri" w:eastAsia="Calibri" w:hAnsi="Calibri"/>
          <w:b/>
          <w:bCs/>
          <w:color w:val="10203F"/>
          <w:sz w:val="21"/>
          <w:szCs w:val="21"/>
        </w:rPr>
        <w:t xml:space="preserve">Twenty, or three hundred</w:t>
      </w:r>
    </w:p>
    <w:p>
      <w:pPr>
        <w:spacing w:after="120" w:before="0" w:line="276"/>
      </w:pPr>
      <w:r>
        <w:rPr>
          <w:rFonts w:ascii="Calibri" w:cs="Calibri" w:eastAsia="Calibri" w:hAnsi="Calibri"/>
          <w:color w:val="1F2937"/>
          <w:sz w:val="20"/>
          <w:szCs w:val="20"/>
        </w:rPr>
        <w:t xml:space="preserve">This is the decision that determines your Australian technology spend, and it is a simple count.</w:t>
      </w:r>
    </w:p>
    <w:p>
      <w:pPr>
        <w:pStyle w:val="ListParagraph"/>
        <w:numPr>
          <w:ilvl w:val="0"/>
          <w:numId w:val="2"/>
        </w:numPr>
        <w:spacing w:after="70" w:line="268"/>
      </w:pPr>
      <w:r>
        <w:rPr>
          <w:rFonts w:ascii="Calibri" w:cs="Calibri" w:eastAsia="Calibri" w:hAnsi="Calibri"/>
          <w:color w:val="1F2937"/>
          <w:sz w:val="20"/>
          <w:szCs w:val="20"/>
        </w:rPr>
        <w:t xml:space="preserve">20 entities or fewer, including the designated local entity itself — the ATO online form works. No software required.</w:t>
      </w:r>
    </w:p>
    <w:p>
      <w:pPr>
        <w:pStyle w:val="ListParagraph"/>
        <w:numPr>
          <w:ilvl w:val="0"/>
          <w:numId w:val="2"/>
        </w:numPr>
        <w:spacing w:after="70" w:line="268"/>
      </w:pPr>
      <w:r>
        <w:rPr>
          <w:rFonts w:ascii="Calibri" w:cs="Calibri" w:eastAsia="Calibri" w:hAnsi="Calibri"/>
          <w:color w:val="1F2937"/>
          <w:sz w:val="20"/>
          <w:szCs w:val="20"/>
        </w:rPr>
        <w:t xml:space="preserve">More than 20 entities — the online form is closed to you. You need an API-enabled solution, which supports up to 300.</w:t>
      </w:r>
    </w:p>
    <w:p>
      <w:pPr>
        <w:pStyle w:val="ListParagraph"/>
        <w:numPr>
          <w:ilvl w:val="0"/>
          <w:numId w:val="2"/>
        </w:numPr>
        <w:spacing w:after="70" w:line="268"/>
      </w:pPr>
      <w:r>
        <w:rPr>
          <w:rFonts w:ascii="Calibri" w:cs="Calibri" w:eastAsia="Calibri" w:hAnsi="Calibri"/>
          <w:color w:val="1F2937"/>
          <w:sz w:val="20"/>
          <w:szCs w:val="20"/>
        </w:rPr>
        <w:t xml:space="preserve">More than 300 entities — neither published route covers you. Raise this with the ATO early rather than at lodgment.</w:t>
      </w:r>
    </w:p>
    <w:p>
      <w:pPr>
        <w:spacing w:after="80"/>
      </w:pPr>
    </w:p>
    <w:tbl>
      <w:tblPr>
        <w:tblW w:type="dxa" w:w="9026"/>
        <w:tblBorders>
          <w:top w:val="single" w:color="B9CCF0" w:sz="2"/>
          <w:left w:val="single" w:color="B9CCF0" w:sz="18"/>
          <w:bottom w:val="single" w:color="B9CCF0" w:sz="2"/>
          <w:right w:val="single" w:color="B9CCF0" w:sz="2"/>
          <w:insideH w:val="none" w:color="FFFFFF" w:sz="0"/>
          <w:insideV w:val="none" w:color="FFFFFF" w:sz="0"/>
        </w:tblBorders>
        <w:tblLayout w:type="fixed"/>
      </w:tblPr>
      <w:tblGrid>
        <w:gridCol w:w="9026"/>
      </w:tblGrid>
      <w:tr>
        <w:tc>
          <w:tcPr>
            <w:tcW w:type="dxa" w:w="9026"/>
            <w:shd w:fill="EEF3FC"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WHY THIS CATCHES PEOPLE</w:t>
            </w:r>
          </w:p>
          <w:p>
            <w:pPr>
              <w:spacing w:after="90" w:before="0" w:line="276"/>
            </w:pPr>
            <w:r>
              <w:rPr>
                <w:rFonts w:ascii="Calibri" w:cs="Calibri" w:eastAsia="Calibri" w:hAnsi="Calibri"/>
                <w:color w:val="1F2937"/>
                <w:sz w:val="20"/>
                <w:szCs w:val="20"/>
              </w:rPr>
              <w:t xml:space="preserve">The 20-entity limit is not a tax rule and does not appear in any computation. It appears in the form instructions. A group that has scoped its Australian position perfectly, computed correctly and diarised the right date can still arrive at the portal and find it will not accept the lodgment.</w:t>
            </w:r>
          </w:p>
          <w:p>
            <w:pPr>
              <w:spacing w:after="0" w:before="0" w:line="276"/>
            </w:pPr>
            <w:r>
              <w:rPr>
                <w:rFonts w:ascii="Calibri" w:cs="Calibri" w:eastAsia="Calibri" w:hAnsi="Calibri"/>
                <w:color w:val="1F2937"/>
                <w:sz w:val="20"/>
                <w:szCs w:val="20"/>
              </w:rPr>
              <w:t xml:space="preserve">Count your Australian entities now. It takes ten minutes and it decides whether you have a procurement exercise ahead of you.</w:t>
            </w:r>
          </w:p>
        </w:tc>
      </w:tr>
    </w:tbl>
    <w:p>
      <w:pPr>
        <w:pBdr>
          <w:bottom w:val="single" w:color="D9E0EC" w:sz="6" w:space="6"/>
        </w:pBdr>
        <w:spacing w:after="120" w:before="300"/>
      </w:pPr>
      <w:r>
        <w:rPr>
          <w:rFonts w:ascii="Calibri" w:cs="Calibri" w:eastAsia="Calibri" w:hAnsi="Calibri"/>
          <w:b/>
          <w:bCs/>
          <w:color w:val="2563EB"/>
          <w:sz w:val="26"/>
          <w:szCs w:val="26"/>
        </w:rPr>
        <w:t xml:space="preserve">4  </w:t>
      </w:r>
      <w:r>
        <w:rPr>
          <w:rFonts w:ascii="Calibri" w:cs="Calibri" w:eastAsia="Calibri" w:hAnsi="Calibri"/>
          <w:b/>
          <w:bCs/>
          <w:color w:val="10203F"/>
          <w:sz w:val="26"/>
          <w:szCs w:val="26"/>
        </w:rPr>
        <w:t xml:space="preserve">The extension that does not extend what you think</w:t>
      </w:r>
    </w:p>
    <w:p>
      <w:pPr>
        <w:spacing w:after="140" w:before="0" w:line="276"/>
      </w:pPr>
      <w:r>
        <w:rPr>
          <w:rFonts w:ascii="Calibri" w:cs="Calibri" w:eastAsia="Calibri" w:hAnsi="Calibri"/>
          <w:color w:val="1F2937"/>
          <w:sz w:val="20"/>
          <w:szCs w:val="20"/>
        </w:rPr>
        <w:t xml:space="preserve">Australia grants a 30-day automatic deferral. It is genuinely useful and it is genuinely narrower than it sounds.</w:t>
      </w:r>
    </w:p>
    <w:p>
      <w:pPr>
        <w:pStyle w:val="ListParagraph"/>
        <w:numPr>
          <w:ilvl w:val="0"/>
          <w:numId w:val="2"/>
        </w:numPr>
        <w:spacing w:after="70" w:line="268"/>
      </w:pPr>
      <w:r>
        <w:rPr>
          <w:rFonts w:ascii="Calibri" w:cs="Calibri" w:eastAsia="Calibri" w:hAnsi="Calibri"/>
          <w:color w:val="1F2937"/>
          <w:sz w:val="20"/>
          <w:szCs w:val="20"/>
        </w:rPr>
        <w:t xml:space="preserve">Covered: the Australian IIR/UTPR return and the domestic minimum tax return.</w:t>
      </w:r>
    </w:p>
    <w:p>
      <w:pPr>
        <w:pStyle w:val="ListParagraph"/>
        <w:numPr>
          <w:ilvl w:val="0"/>
          <w:numId w:val="2"/>
        </w:numPr>
        <w:spacing w:after="70" w:line="268"/>
      </w:pPr>
      <w:r>
        <w:rPr>
          <w:rFonts w:ascii="Calibri" w:cs="Calibri" w:eastAsia="Calibri" w:hAnsi="Calibri"/>
          <w:color w:val="1F2937"/>
          <w:sz w:val="20"/>
          <w:szCs w:val="20"/>
        </w:rPr>
        <w:t xml:space="preserve">Not covered, and not deferrable at all: the GloBE Information Return and the foreign lodgment notification.</w:t>
      </w:r>
    </w:p>
    <w:p>
      <w:pPr>
        <w:spacing w:after="80"/>
      </w:pPr>
    </w:p>
    <w:p>
      <w:pPr>
        <w:spacing w:after="0" w:before="0" w:line="276"/>
      </w:pPr>
      <w:r>
        <w:rPr>
          <w:rFonts w:ascii="Calibri" w:cs="Calibri" w:eastAsia="Calibri" w:hAnsi="Calibri"/>
          <w:b/>
          <w:bCs/>
          <w:color w:val="1F2937"/>
          <w:sz w:val="20"/>
          <w:szCs w:val="20"/>
        </w:rPr>
        <w:t xml:space="preserve">Read that against the combined return. </w:t>
      </w:r>
      <w:r>
        <w:rPr>
          <w:rFonts w:ascii="Calibri" w:cs="Calibri" w:eastAsia="Calibri" w:hAnsi="Calibri"/>
          <w:color w:val="1F2937"/>
          <w:sz w:val="20"/>
          <w:szCs w:val="20"/>
        </w:rPr>
        <w:t xml:space="preserve">The foreign lodgment notification sits inside the CGDMTR alongside two things that can be deferred — but it cannot be. If your plan is "we will use the 30 days", your plan only works for part of the form you are filing.</w:t>
      </w:r>
    </w:p>
    <w:p>
      <w:pPr>
        <w:pBdr>
          <w:bottom w:val="single" w:color="D9E0EC" w:sz="6" w:space="6"/>
        </w:pBdr>
        <w:spacing w:after="120" w:before="300"/>
      </w:pPr>
      <w:r>
        <w:rPr>
          <w:rFonts w:ascii="Calibri" w:cs="Calibri" w:eastAsia="Calibri" w:hAnsi="Calibri"/>
          <w:b/>
          <w:bCs/>
          <w:color w:val="2563EB"/>
          <w:sz w:val="26"/>
          <w:szCs w:val="26"/>
        </w:rPr>
        <w:t xml:space="preserve">5  </w:t>
      </w:r>
      <w:r>
        <w:rPr>
          <w:rFonts w:ascii="Calibri" w:cs="Calibri" w:eastAsia="Calibri" w:hAnsi="Calibri"/>
          <w:b/>
          <w:bCs/>
          <w:color w:val="10203F"/>
          <w:sz w:val="26"/>
          <w:szCs w:val="26"/>
        </w:rPr>
        <w:t xml:space="preserve">There is no nomination form. Look for one and you will not find it.</w:t>
      </w:r>
    </w:p>
    <w:p>
      <w:pPr>
        <w:spacing w:after="140" w:before="0" w:line="276"/>
      </w:pPr>
      <w:r>
        <w:rPr>
          <w:rFonts w:ascii="Calibri" w:cs="Calibri" w:eastAsia="Calibri" w:hAnsi="Calibri"/>
          <w:color w:val="1F2937"/>
          <w:sz w:val="20"/>
          <w:szCs w:val="20"/>
        </w:rPr>
        <w:t xml:space="preserve">A designated local entity can lodge on behalf of the Australian group. There is no separate nomination form, no registration step and no approval to wait for. The designation is made inside the GIR and the CGDMTR themselves.</w:t>
      </w:r>
    </w:p>
    <w:p>
      <w:pPr>
        <w:spacing w:after="0" w:before="0" w:line="276"/>
      </w:pPr>
      <w:r>
        <w:rPr>
          <w:rFonts w:ascii="Calibri" w:cs="Calibri" w:eastAsia="Calibri" w:hAnsi="Calibri"/>
          <w:b/>
          <w:bCs/>
          <w:color w:val="1F2937"/>
          <w:sz w:val="20"/>
          <w:szCs w:val="20"/>
        </w:rPr>
        <w:t xml:space="preserve">This is good news handled badly. </w:t>
      </w:r>
      <w:r>
        <w:rPr>
          <w:rFonts w:ascii="Calibri" w:cs="Calibri" w:eastAsia="Calibri" w:hAnsi="Calibri"/>
          <w:color w:val="1F2937"/>
          <w:sz w:val="20"/>
          <w:szCs w:val="20"/>
        </w:rPr>
        <w:t xml:space="preserve">Teams accustomed to European regimes spend time hunting for the notification that appoints the filer, conclude the ATO site is incomplete, and escalate. There is nothing to find. Decide the DLE internally, document the decision for your own records, and designate it in the return.</w:t>
      </w:r>
    </w:p>
    <w:p>
      <w:pPr>
        <w:pBdr>
          <w:bottom w:val="single" w:color="D9E0EC" w:sz="6" w:space="6"/>
        </w:pBdr>
        <w:spacing w:after="120" w:before="300"/>
      </w:pPr>
      <w:r>
        <w:rPr>
          <w:rFonts w:ascii="Calibri" w:cs="Calibri" w:eastAsia="Calibri" w:hAnsi="Calibri"/>
          <w:b/>
          <w:bCs/>
          <w:color w:val="2563EB"/>
          <w:sz w:val="26"/>
          <w:szCs w:val="26"/>
        </w:rPr>
        <w:t xml:space="preserve">6  </w:t>
      </w:r>
      <w:r>
        <w:rPr>
          <w:rFonts w:ascii="Calibri" w:cs="Calibri" w:eastAsia="Calibri" w:hAnsi="Calibri"/>
          <w:b/>
          <w:bCs/>
          <w:color w:val="10203F"/>
          <w:sz w:val="26"/>
          <w:szCs w:val="26"/>
        </w:rPr>
        <w:t xml:space="preserve">Penalties, stated plainly</w:t>
      </w:r>
    </w:p>
    <w:p>
      <w:pPr>
        <w:spacing w:after="130" w:before="0" w:line="276"/>
      </w:pPr>
      <w:r>
        <w:rPr>
          <w:rFonts w:ascii="Calibri" w:cs="Calibri" w:eastAsia="Calibri" w:hAnsi="Calibri"/>
          <w:color w:val="1F2937"/>
          <w:sz w:val="20"/>
          <w:szCs w:val="20"/>
        </w:rPr>
        <w:t xml:space="preserve">Australia is not subtle about this, and the multiplier is the point.</w:t>
      </w:r>
    </w:p>
    <w:p>
      <w:pPr>
        <w:pStyle w:val="ListParagraph"/>
        <w:numPr>
          <w:ilvl w:val="0"/>
          <w:numId w:val="2"/>
        </w:numPr>
        <w:spacing w:after="70" w:line="268"/>
      </w:pPr>
      <w:r>
        <w:rPr>
          <w:rFonts w:ascii="Calibri" w:cs="Calibri" w:eastAsia="Calibri" w:hAnsi="Calibri"/>
          <w:color w:val="1F2937"/>
          <w:sz w:val="20"/>
          <w:szCs w:val="20"/>
        </w:rPr>
        <w:t xml:space="preserve">Failure to lodge on time: the base penalty amount multiplied by 500.</w:t>
      </w:r>
    </w:p>
    <w:p>
      <w:pPr>
        <w:pStyle w:val="ListParagraph"/>
        <w:numPr>
          <w:ilvl w:val="0"/>
          <w:numId w:val="2"/>
        </w:numPr>
        <w:spacing w:after="70" w:line="268"/>
      </w:pPr>
      <w:r>
        <w:rPr>
          <w:rFonts w:ascii="Calibri" w:cs="Calibri" w:eastAsia="Calibri" w:hAnsi="Calibri"/>
          <w:color w:val="1F2937"/>
          <w:sz w:val="20"/>
          <w:szCs w:val="20"/>
        </w:rPr>
        <w:t xml:space="preserve">False and misleading statements: the base penalty amount doubled.</w:t>
      </w:r>
    </w:p>
    <w:p>
      <w:pPr>
        <w:pStyle w:val="ListParagraph"/>
        <w:numPr>
          <w:ilvl w:val="0"/>
          <w:numId w:val="2"/>
        </w:numPr>
        <w:spacing w:after="70" w:line="268"/>
      </w:pPr>
      <w:r>
        <w:rPr>
          <w:rFonts w:ascii="Calibri" w:cs="Calibri" w:eastAsia="Calibri" w:hAnsi="Calibri"/>
          <w:color w:val="1F2937"/>
          <w:sz w:val="20"/>
          <w:szCs w:val="20"/>
        </w:rPr>
        <w:t xml:space="preserve">Failure to keep records: a separate administrative penalty applies.</w:t>
      </w:r>
    </w:p>
    <w:p>
      <w:pPr>
        <w:spacing w:after="80"/>
      </w:pPr>
    </w:p>
    <w:p>
      <w:pPr>
        <w:spacing w:after="0" w:before="0" w:line="276"/>
      </w:pPr>
      <w:r>
        <w:rPr>
          <w:rFonts w:ascii="Calibri" w:cs="Calibri" w:eastAsia="Calibri" w:hAnsi="Calibri"/>
          <w:color w:val="1F2937"/>
          <w:sz w:val="20"/>
          <w:szCs w:val="20"/>
        </w:rPr>
        <w:t xml:space="preserve">A 500x multiplier on a late lodgment is a deliberate design choice, and it sits alongside a regime where the most common failure mode is administrative rather than technical — the wrong channel, a missed agent window, a deferral that did not apply. The penalty is calibrated for exactly the mistakes this sheet is about.</w:t>
      </w:r>
    </w:p>
    <w:p>
      <w:pPr>
        <w:pBdr>
          <w:bottom w:val="single" w:color="D9E0EC" w:sz="6" w:space="6"/>
        </w:pBdr>
        <w:spacing w:after="120" w:before="300"/>
      </w:pPr>
      <w:r>
        <w:rPr>
          <w:rFonts w:ascii="Calibri" w:cs="Calibri" w:eastAsia="Calibri" w:hAnsi="Calibri"/>
          <w:b/>
          <w:bCs/>
          <w:color w:val="2563EB"/>
          <w:sz w:val="26"/>
          <w:szCs w:val="26"/>
        </w:rPr>
        <w:t xml:space="preserve">7  </w:t>
      </w:r>
      <w:r>
        <w:rPr>
          <w:rFonts w:ascii="Calibri" w:cs="Calibri" w:eastAsia="Calibri" w:hAnsi="Calibri"/>
          <w:b/>
          <w:bCs/>
          <w:color w:val="10203F"/>
          <w:sz w:val="26"/>
          <w:szCs w:val="26"/>
        </w:rPr>
        <w:t xml:space="preserve">A ninety-day checklist</w:t>
      </w:r>
    </w:p>
    <w:p>
      <w:pPr>
        <w:spacing w:after="130" w:before="0" w:line="276"/>
      </w:pPr>
      <w:r>
        <w:rPr>
          <w:rFonts w:ascii="Calibri" w:cs="Calibri" w:eastAsia="Calibri" w:hAnsi="Calibri"/>
          <w:color w:val="1F2937"/>
          <w:sz w:val="20"/>
          <w:szCs w:val="20"/>
        </w:rPr>
        <w:t xml:space="preserve">In order. The first item determines everything that follows it.</w:t>
      </w:r>
    </w:p>
    <w:p>
      <w:pPr>
        <w:pStyle w:val="ListParagraph"/>
        <w:numPr>
          <w:ilvl w:val="0"/>
          <w:numId w:val="2"/>
        </w:numPr>
        <w:spacing w:after="70" w:line="268"/>
      </w:pPr>
      <w:r>
        <w:rPr>
          <w:rFonts w:ascii="Calibri" w:cs="Calibri" w:eastAsia="Calibri" w:hAnsi="Calibri"/>
          <w:color w:val="1F2937"/>
          <w:sz w:val="20"/>
          <w:szCs w:val="20"/>
        </w:rPr>
        <w:t xml:space="preserve">Count your Australian group entities. If the number including the DLE exceeds 20, start the procurement conversation for an API-enabled solution this month.</w:t>
      </w:r>
    </w:p>
    <w:p>
      <w:pPr>
        <w:pStyle w:val="ListParagraph"/>
        <w:numPr>
          <w:ilvl w:val="0"/>
          <w:numId w:val="2"/>
        </w:numPr>
        <w:spacing w:after="70" w:line="268"/>
      </w:pPr>
      <w:r>
        <w:rPr>
          <w:rFonts w:ascii="Calibri" w:cs="Calibri" w:eastAsia="Calibri" w:hAnsi="Calibri"/>
          <w:color w:val="1F2937"/>
          <w:sz w:val="20"/>
          <w:szCs w:val="20"/>
        </w:rPr>
        <w:t xml:space="preserve">Confirm whether your tax agent already holds client-level income tax access. If they do, you need no GDMT account; if they do not, request one now rather than waiting for it to appear.</w:t>
      </w:r>
    </w:p>
    <w:p>
      <w:pPr>
        <w:pStyle w:val="ListParagraph"/>
        <w:numPr>
          <w:ilvl w:val="0"/>
          <w:numId w:val="2"/>
        </w:numPr>
        <w:spacing w:after="70" w:line="268"/>
      </w:pPr>
      <w:r>
        <w:rPr>
          <w:rFonts w:ascii="Calibri" w:cs="Calibri" w:eastAsia="Calibri" w:hAnsi="Calibri"/>
          <w:color w:val="1F2937"/>
          <w:sz w:val="20"/>
          <w:szCs w:val="20"/>
        </w:rPr>
        <w:t xml:space="preserve">If you are nominating an agent, diarise the 28-day window from the nomination date and confirm they have actioned it.</w:t>
      </w:r>
    </w:p>
    <w:p>
      <w:pPr>
        <w:pStyle w:val="ListParagraph"/>
        <w:numPr>
          <w:ilvl w:val="0"/>
          <w:numId w:val="2"/>
        </w:numPr>
        <w:spacing w:after="70" w:line="268"/>
      </w:pPr>
      <w:r>
        <w:rPr>
          <w:rFonts w:ascii="Calibri" w:cs="Calibri" w:eastAsia="Calibri" w:hAnsi="Calibri"/>
          <w:color w:val="1F2937"/>
          <w:sz w:val="20"/>
          <w:szCs w:val="20"/>
        </w:rPr>
        <w:t xml:space="preserve">Decide the designated local entity internally and document it. Stop looking for a nomination form.</w:t>
      </w:r>
    </w:p>
    <w:p>
      <w:pPr>
        <w:pStyle w:val="ListParagraph"/>
        <w:numPr>
          <w:ilvl w:val="0"/>
          <w:numId w:val="2"/>
        </w:numPr>
        <w:spacing w:after="70" w:line="268"/>
      </w:pPr>
      <w:r>
        <w:rPr>
          <w:rFonts w:ascii="Calibri" w:cs="Calibri" w:eastAsia="Calibri" w:hAnsi="Calibri"/>
          <w:color w:val="1F2937"/>
          <w:sz w:val="20"/>
          <w:szCs w:val="20"/>
        </w:rPr>
        <w:t xml:space="preserve">Separate your deadline plan into deferrable and non-deferrable: the GIR and the foreign lodgment notification get no 30 days.</w:t>
      </w:r>
    </w:p>
    <w:p>
      <w:pPr>
        <w:pStyle w:val="ListParagraph"/>
        <w:numPr>
          <w:ilvl w:val="0"/>
          <w:numId w:val="2"/>
        </w:numPr>
        <w:spacing w:after="70" w:line="268"/>
      </w:pPr>
      <w:r>
        <w:rPr>
          <w:rFonts w:ascii="Calibri" w:cs="Calibri" w:eastAsia="Calibri" w:hAnsi="Calibri"/>
          <w:color w:val="1F2937"/>
          <w:sz w:val="20"/>
          <w:szCs w:val="20"/>
        </w:rPr>
        <w:t xml:space="preserve">Diarise payment on the lodgment date for the CGDMTR, not after it.</w:t>
      </w:r>
    </w:p>
    <w:p>
      <w:pPr>
        <w:pStyle w:val="ListParagraph"/>
        <w:numPr>
          <w:ilvl w:val="0"/>
          <w:numId w:val="2"/>
        </w:numPr>
        <w:spacing w:after="70" w:line="268"/>
      </w:pPr>
      <w:r>
        <w:rPr>
          <w:rFonts w:ascii="Calibri" w:cs="Calibri" w:eastAsia="Calibri" w:hAnsi="Calibri"/>
          <w:color w:val="1F2937"/>
          <w:sz w:val="20"/>
          <w:szCs w:val="20"/>
        </w:rPr>
        <w:t xml:space="preserve">Re-label your group tracker: Australia has a domestic charge and a notification obligation, filed under names your tracker probably does not contain.</w:t>
      </w:r>
    </w:p>
    <w:p>
      <w:pPr>
        <w:pStyle w:val="ListParagraph"/>
        <w:numPr>
          <w:ilvl w:val="0"/>
          <w:numId w:val="2"/>
        </w:numPr>
        <w:spacing w:after="70" w:line="268"/>
      </w:pPr>
      <w:r>
        <w:rPr>
          <w:rFonts w:ascii="Calibri" w:cs="Calibri" w:eastAsia="Calibri" w:hAnsi="Calibri"/>
          <w:color w:val="1F2937"/>
          <w:sz w:val="20"/>
          <w:szCs w:val="20"/>
        </w:rPr>
        <w:t xml:space="preserve">Confirm which commencement applies — IIR and domestic minimum tax from fiscal years starting on or after 1 January 2024; UTPR from 1 January 2025.</w:t>
      </w:r>
    </w:p>
    <w:p>
      <w:pPr>
        <w:pBdr>
          <w:bottom w:val="single" w:color="D9E0EC" w:sz="6" w:space="6"/>
        </w:pBdr>
        <w:spacing w:after="120" w:before="300"/>
      </w:pPr>
      <w:r>
        <w:rPr>
          <w:rFonts w:ascii="Calibri" w:cs="Calibri" w:eastAsia="Calibri" w:hAnsi="Calibri"/>
          <w:b/>
          <w:bCs/>
          <w:color w:val="2563EB"/>
          <w:sz w:val="26"/>
          <w:szCs w:val="26"/>
        </w:rPr>
        <w:t xml:space="preserve">8  </w:t>
      </w:r>
      <w:r>
        <w:rPr>
          <w:rFonts w:ascii="Calibri" w:cs="Calibri" w:eastAsia="Calibri" w:hAnsi="Calibri"/>
          <w:b/>
          <w:bCs/>
          <w:color w:val="10203F"/>
          <w:sz w:val="26"/>
          <w:szCs w:val="26"/>
        </w:rPr>
        <w:t xml:space="preserve">Where every statement above comes from</w:t>
      </w:r>
    </w:p>
    <w:p>
      <w:pPr>
        <w:spacing w:after="140" w:before="0" w:line="276"/>
      </w:pPr>
      <w:r>
        <w:rPr>
          <w:rFonts w:ascii="Calibri" w:cs="Calibri" w:eastAsia="Calibri" w:hAnsi="Calibri"/>
          <w:color w:val="1F2937"/>
          <w:sz w:val="20"/>
          <w:szCs w:val="20"/>
        </w:rPr>
        <w:t xml:space="preserve">Nothing here is drawn from an advisory summary or an aggregator. Every item was checked against the ATO's own published pages, and the 20 and 300 entity limits are the ATO's own figures, not an estimate. Where the ATO publishes no figure — the lead time for a GDMT account, for instance — this sheet says so rather than supplying one.</w:t>
      </w:r>
    </w:p>
    <w:p>
      <w:pPr>
        <w:pStyle w:val="ListParagraph"/>
        <w:numPr>
          <w:ilvl w:val="0"/>
          <w:numId w:val="2"/>
        </w:numPr>
        <w:spacing w:after="70" w:line="268"/>
      </w:pPr>
      <w:r>
        <w:rPr>
          <w:rFonts w:ascii="Calibri" w:cs="Calibri" w:eastAsia="Calibri" w:hAnsi="Calibri"/>
          <w:color w:val="1F2937"/>
          <w:sz w:val="20"/>
          <w:szCs w:val="20"/>
        </w:rPr>
        <w:t xml:space="preserve">Lodging, paying and other obligations for Pillar Two — Australian Taxation Office</w:t>
      </w:r>
    </w:p>
    <w:p>
      <w:pPr>
        <w:pStyle w:val="ListParagraph"/>
        <w:numPr>
          <w:ilvl w:val="0"/>
          <w:numId w:val="2"/>
        </w:numPr>
        <w:spacing w:after="70" w:line="268"/>
      </w:pPr>
      <w:r>
        <w:rPr>
          <w:rFonts w:ascii="Calibri" w:cs="Calibri" w:eastAsia="Calibri" w:hAnsi="Calibri"/>
          <w:color w:val="1F2937"/>
          <w:sz w:val="20"/>
          <w:szCs w:val="20"/>
        </w:rPr>
        <w:t xml:space="preserve">CGDMTR online form instructions 2024: lodgment, assessment and payment — Australian Taxation Office</w:t>
      </w:r>
    </w:p>
    <w:p>
      <w:pPr>
        <w:spacing w:after="120"/>
      </w:pPr>
    </w:p>
    <w:p>
      <w:pPr>
        <w:spacing w:after="160" w:before="0" w:line="276"/>
      </w:pPr>
      <w:r>
        <w:rPr>
          <w:rFonts w:ascii="Calibri" w:cs="Calibri" w:eastAsia="Calibri" w:hAnsi="Calibri"/>
          <w:b/>
          <w:bCs/>
          <w:color w:val="1F2937"/>
          <w:sz w:val="20"/>
          <w:szCs w:val="20"/>
        </w:rPr>
        <w:t xml:space="preserve">Live, dated and linked: </w:t>
      </w:r>
      <w:r>
        <w:rPr>
          <w:rFonts w:ascii="Calibri" w:cs="Calibri" w:eastAsia="Calibri" w:hAnsi="Calibri"/>
          <w:color w:val="1F2937"/>
          <w:sz w:val="20"/>
          <w:szCs w:val="20"/>
        </w:rPr>
        <w:t xml:space="preserve">every row behind this sheet sits in the obligation tracker at saurabhsatija.com/tracker, with a link to the ATO page it came from and the date it was last checked. The underlying data is open at saurabhsatija.com/tracker-data.json.</w:t>
      </w:r>
    </w:p>
    <w:p>
      <w:pPr>
        <w:pBdr>
          <w:top w:val="single" w:color="D9E0EC" w:sz="6" w:space="10"/>
        </w:pBdr>
        <w:spacing w:after="0" w:before="120"/>
      </w:pPr>
      <w:r>
        <w:rPr>
          <w:rFonts w:ascii="Calibri" w:cs="Calibri" w:eastAsia="Calibri" w:hAnsi="Calibri"/>
          <w:i/>
          <w:iCs/>
          <w:color w:val="5A6B87"/>
          <w:sz w:val="15"/>
          <w:szCs w:val="15"/>
        </w:rPr>
        <w:t xml:space="preserve">Saurabh Satija — VP Sales, UK &amp; Ireland and Global Head, BEPS &amp; Pillar Two, DataTracks, London. This is a scoping aid, not tax advice, and not my employer's view. Verify against the ATO before you lodge. © 2026 Saurabh Satija.</w:t>
      </w:r>
    </w:p>
    <w:sectPr>
      <w:pgSz w:w="11906" w:h="16838" w:orient="portrait"/>
      <w:pgMar w:top="1296" w:right="1440" w:bottom="1296"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00"/>
      </w:pPr>
    </w:lvl>
    <w:lvl w:ilvl="1" w:tentative="1">
      <w:start w:val="1"/>
      <w:numFmt w:val="bullet"/>
      <w:lvlText w:val="–"/>
      <w:lvlJc w:val="left"/>
      <w:pPr>
        <w:ind w:left="72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Filing Pillar Two in Australia — readiness cheat sheet</dc:title>
  <dc:creator>Saurabh Satija</dc:creator>
  <dc:description>Four obligations, two channels and a twenty-entity ceiling: what a group with Australian entities has to do, in order.</dc:description>
  <cp:lastModifiedBy>Un-named</cp:lastModifiedBy>
  <cp:revision>1</cp:revision>
  <dcterms:created xsi:type="dcterms:W3CDTF">2026-10-04T11:03:59.702Z</dcterms:created>
  <dcterms:modified xsi:type="dcterms:W3CDTF">2026-10-04T11:03:59.703Z</dcterms:modified>
</cp:coreProperties>
</file>

<file path=docProps/custom.xml><?xml version="1.0" encoding="utf-8"?>
<Properties xmlns="http://schemas.openxmlformats.org/officeDocument/2006/custom-properties" xmlns:vt="http://schemas.openxmlformats.org/officeDocument/2006/docPropsVTypes"/>
</file>